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77ECE" w14:textId="77777777" w:rsidR="001B0B97" w:rsidRDefault="001B0B97" w:rsidP="00382038">
      <w:pPr>
        <w:pStyle w:val="Corpo"/>
        <w:jc w:val="center"/>
        <w:rPr>
          <w:rFonts w:ascii="Arial" w:hAnsi="Arial"/>
          <w:b/>
          <w:sz w:val="28"/>
          <w:szCs w:val="28"/>
          <w:u w:val="single"/>
        </w:rPr>
      </w:pPr>
      <w:r>
        <w:rPr>
          <w:rFonts w:ascii="Arial" w:hAnsi="Arial"/>
          <w:b/>
          <w:sz w:val="28"/>
          <w:szCs w:val="28"/>
          <w:u w:val="single"/>
        </w:rPr>
        <w:t>COMUNICATO STAMPA</w:t>
      </w:r>
    </w:p>
    <w:p w14:paraId="429876E2" w14:textId="77777777" w:rsidR="001B0B97" w:rsidRDefault="001B0B97" w:rsidP="00382038">
      <w:pPr>
        <w:pStyle w:val="Corpo"/>
        <w:rPr>
          <w:rFonts w:ascii="Arial" w:eastAsia="Arial" w:hAnsi="Arial" w:cs="Arial"/>
          <w:b/>
          <w:sz w:val="28"/>
          <w:szCs w:val="28"/>
          <w:u w:val="single"/>
        </w:rPr>
      </w:pPr>
    </w:p>
    <w:p w14:paraId="6E1591F8" w14:textId="77777777" w:rsidR="001362BE" w:rsidRPr="00FD74E4" w:rsidRDefault="00D91747" w:rsidP="00FD74E4">
      <w:pPr>
        <w:pStyle w:val="Corpo"/>
        <w:jc w:val="center"/>
        <w:rPr>
          <w:rFonts w:ascii="Arial" w:eastAsia="Arial" w:hAnsi="Arial" w:cs="Arial"/>
          <w:b/>
          <w:sz w:val="24"/>
          <w:szCs w:val="24"/>
        </w:rPr>
      </w:pPr>
      <w:r w:rsidRPr="00FD74E4">
        <w:rPr>
          <w:rFonts w:ascii="Arial" w:hAnsi="Arial"/>
          <w:b/>
          <w:sz w:val="24"/>
          <w:szCs w:val="24"/>
        </w:rPr>
        <w:t>G</w:t>
      </w:r>
      <w:r w:rsidR="00FD74E4" w:rsidRPr="00FD74E4">
        <w:rPr>
          <w:rFonts w:ascii="Arial" w:hAnsi="Arial"/>
          <w:b/>
          <w:sz w:val="24"/>
          <w:szCs w:val="24"/>
        </w:rPr>
        <w:t>reen Reporting</w:t>
      </w:r>
      <w:r w:rsidR="0046345E">
        <w:rPr>
          <w:rFonts w:ascii="Arial" w:hAnsi="Arial"/>
          <w:b/>
          <w:sz w:val="24"/>
          <w:szCs w:val="24"/>
        </w:rPr>
        <w:t>:</w:t>
      </w:r>
      <w:r w:rsidR="00FD74E4" w:rsidRPr="00FD74E4">
        <w:rPr>
          <w:rFonts w:ascii="Arial" w:hAnsi="Arial"/>
          <w:b/>
          <w:sz w:val="24"/>
          <w:szCs w:val="24"/>
        </w:rPr>
        <w:t xml:space="preserve"> </w:t>
      </w:r>
      <w:r w:rsidR="0046345E">
        <w:rPr>
          <w:rFonts w:ascii="Arial" w:hAnsi="Arial"/>
          <w:b/>
          <w:iCs/>
          <w:sz w:val="24"/>
          <w:szCs w:val="24"/>
        </w:rPr>
        <w:t>Imprese</w:t>
      </w:r>
      <w:r w:rsidR="00FD74E4" w:rsidRPr="00FD74E4">
        <w:rPr>
          <w:rFonts w:ascii="Arial" w:hAnsi="Arial"/>
          <w:b/>
          <w:iCs/>
          <w:sz w:val="24"/>
          <w:szCs w:val="24"/>
        </w:rPr>
        <w:t xml:space="preserve"> italiane sotto la lente</w:t>
      </w:r>
      <w:r w:rsidRPr="00FD74E4">
        <w:rPr>
          <w:rFonts w:ascii="Arial" w:hAnsi="Arial"/>
          <w:b/>
          <w:iCs/>
          <w:sz w:val="24"/>
          <w:szCs w:val="24"/>
        </w:rPr>
        <w:t>.</w:t>
      </w:r>
      <w:r w:rsidR="001362BE" w:rsidRPr="00FD74E4">
        <w:rPr>
          <w:rFonts w:ascii="Arial" w:hAnsi="Arial"/>
          <w:b/>
          <w:iCs/>
          <w:sz w:val="24"/>
          <w:szCs w:val="24"/>
        </w:rPr>
        <w:t xml:space="preserve"> </w:t>
      </w:r>
    </w:p>
    <w:p w14:paraId="4C8DB714" w14:textId="77777777" w:rsidR="00397C2C" w:rsidRDefault="00023DD2" w:rsidP="00382038">
      <w:pPr>
        <w:pStyle w:val="Corpo"/>
        <w:jc w:val="center"/>
        <w:rPr>
          <w:rFonts w:ascii="Arial" w:hAnsi="Arial"/>
          <w:b/>
          <w:iCs/>
          <w:sz w:val="24"/>
          <w:szCs w:val="24"/>
        </w:rPr>
      </w:pPr>
      <w:r>
        <w:rPr>
          <w:rFonts w:ascii="Arial" w:hAnsi="Arial"/>
          <w:b/>
          <w:iCs/>
          <w:sz w:val="24"/>
          <w:szCs w:val="24"/>
        </w:rPr>
        <w:t xml:space="preserve">6 raccomandazioni </w:t>
      </w:r>
      <w:r w:rsidR="00397C2C">
        <w:rPr>
          <w:rFonts w:ascii="Arial" w:hAnsi="Arial"/>
          <w:b/>
          <w:iCs/>
          <w:sz w:val="24"/>
          <w:szCs w:val="24"/>
        </w:rPr>
        <w:t>green per la rendicontazione e la strategia aziendale</w:t>
      </w:r>
    </w:p>
    <w:p w14:paraId="73B547F7" w14:textId="77777777" w:rsidR="001362BE" w:rsidRPr="00FD74E4" w:rsidRDefault="00397C2C" w:rsidP="00382038">
      <w:pPr>
        <w:pStyle w:val="Corpo"/>
        <w:jc w:val="center"/>
        <w:rPr>
          <w:rFonts w:ascii="Arial" w:hAnsi="Arial"/>
          <w:b/>
          <w:iCs/>
          <w:sz w:val="24"/>
          <w:szCs w:val="24"/>
        </w:rPr>
      </w:pPr>
      <w:r>
        <w:rPr>
          <w:rFonts w:ascii="Arial" w:hAnsi="Arial"/>
          <w:b/>
          <w:iCs/>
          <w:sz w:val="24"/>
          <w:szCs w:val="24"/>
        </w:rPr>
        <w:t xml:space="preserve"> </w:t>
      </w:r>
    </w:p>
    <w:p w14:paraId="0C96B66F" w14:textId="77777777" w:rsidR="00536118" w:rsidRDefault="00A16E68" w:rsidP="00845B3A">
      <w:pPr>
        <w:pStyle w:val="Corpo"/>
        <w:jc w:val="both"/>
        <w:rPr>
          <w:rFonts w:ascii="Arial" w:eastAsia="Arial" w:hAnsi="Arial" w:cs="Arial"/>
          <w:i/>
          <w:sz w:val="24"/>
          <w:szCs w:val="24"/>
        </w:rPr>
      </w:pPr>
      <w:bookmarkStart w:id="0" w:name="_Hlk21685475"/>
      <w:r w:rsidRPr="00B679AA">
        <w:rPr>
          <w:rFonts w:ascii="Arial" w:eastAsia="Arial" w:hAnsi="Arial" w:cs="Arial"/>
          <w:i/>
        </w:rPr>
        <w:t>P</w:t>
      </w:r>
      <w:r w:rsidR="00DF6209" w:rsidRPr="00B679AA">
        <w:rPr>
          <w:rFonts w:ascii="Arial" w:eastAsia="Arial" w:hAnsi="Arial" w:cs="Arial"/>
          <w:i/>
        </w:rPr>
        <w:t xml:space="preserve">er il 68% delle imprese il cambiamento climatico è un tema </w:t>
      </w:r>
      <w:r w:rsidRPr="00B679AA">
        <w:rPr>
          <w:rFonts w:ascii="Arial" w:eastAsia="Arial" w:hAnsi="Arial" w:cs="Arial"/>
          <w:i/>
        </w:rPr>
        <w:t xml:space="preserve">strategicamente rilevante, e oltre il </w:t>
      </w:r>
      <w:r w:rsidRPr="00B679AA">
        <w:rPr>
          <w:rFonts w:ascii="Arial" w:eastAsia="Arial" w:hAnsi="Arial" w:cs="Arial"/>
          <w:b/>
          <w:bCs/>
          <w:i/>
        </w:rPr>
        <w:t>90% rendiconta regolarmente le proprie emissioni di gas serra</w:t>
      </w:r>
      <w:r w:rsidRPr="00B679AA">
        <w:rPr>
          <w:rFonts w:ascii="Arial" w:eastAsia="Arial" w:hAnsi="Arial" w:cs="Arial"/>
          <w:i/>
        </w:rPr>
        <w:t xml:space="preserve">. Ma </w:t>
      </w:r>
      <w:r w:rsidRPr="00B679AA">
        <w:rPr>
          <w:rFonts w:ascii="Arial" w:eastAsia="Arial" w:hAnsi="Arial" w:cs="Arial"/>
          <w:b/>
          <w:bCs/>
          <w:i/>
        </w:rPr>
        <w:t xml:space="preserve">solo il 17% </w:t>
      </w:r>
      <w:r w:rsidR="00BC7B8F" w:rsidRPr="00B679AA">
        <w:rPr>
          <w:rFonts w:ascii="Arial" w:eastAsia="Arial" w:hAnsi="Arial" w:cs="Arial"/>
          <w:b/>
          <w:bCs/>
          <w:i/>
        </w:rPr>
        <w:t>riporta</w:t>
      </w:r>
      <w:r w:rsidRPr="00B679AA">
        <w:rPr>
          <w:rFonts w:ascii="Arial" w:eastAsia="Arial" w:hAnsi="Arial" w:cs="Arial"/>
          <w:b/>
          <w:bCs/>
          <w:i/>
        </w:rPr>
        <w:t xml:space="preserve"> un target di riduzione delle emissioni</w:t>
      </w:r>
      <w:r w:rsidRPr="00B679AA">
        <w:rPr>
          <w:rFonts w:ascii="Arial" w:eastAsia="Arial" w:hAnsi="Arial" w:cs="Arial"/>
          <w:i/>
        </w:rPr>
        <w:t xml:space="preserve"> e ancora meno, il 5%, </w:t>
      </w:r>
      <w:r w:rsidR="00BC7B8F" w:rsidRPr="00B679AA">
        <w:rPr>
          <w:rFonts w:ascii="Arial" w:eastAsia="Arial" w:hAnsi="Arial" w:cs="Arial"/>
          <w:i/>
        </w:rPr>
        <w:t>adotta un target in linea con gli impegni dell’Accordo di Parigi.</w:t>
      </w:r>
      <w:r w:rsidR="00536118" w:rsidRPr="00B679AA">
        <w:rPr>
          <w:rFonts w:ascii="Arial" w:eastAsia="Arial" w:hAnsi="Arial" w:cs="Arial"/>
          <w:i/>
        </w:rPr>
        <w:t xml:space="preserve"> Inoltre solo il 21% delle imprese rendiconta </w:t>
      </w:r>
      <w:r w:rsidR="00536118" w:rsidRPr="00B679AA">
        <w:rPr>
          <w:rFonts w:ascii="Arial" w:eastAsia="Arial" w:hAnsi="Arial" w:cs="Arial"/>
          <w:i/>
          <w:sz w:val="24"/>
          <w:szCs w:val="24"/>
        </w:rPr>
        <w:t xml:space="preserve">con chiarezza sugli investimenti effettuati per miglioramenti ambientali e </w:t>
      </w:r>
      <w:r w:rsidR="00536118" w:rsidRPr="00B679AA">
        <w:rPr>
          <w:rFonts w:ascii="Arial" w:eastAsia="Arial" w:hAnsi="Arial" w:cs="Arial"/>
          <w:b/>
          <w:bCs/>
          <w:i/>
          <w:sz w:val="24"/>
          <w:szCs w:val="24"/>
        </w:rPr>
        <w:t>meno di un’impresa su dieci riporta gli impatti ambientali connessi all’utilizzo dei propri prodotti.</w:t>
      </w:r>
      <w:r w:rsidR="00536118" w:rsidRPr="00B679AA">
        <w:rPr>
          <w:rFonts w:ascii="Arial" w:eastAsia="Arial" w:hAnsi="Arial" w:cs="Arial"/>
          <w:i/>
          <w:sz w:val="24"/>
          <w:szCs w:val="24"/>
        </w:rPr>
        <w:t xml:space="preserve"> </w:t>
      </w:r>
      <w:r w:rsidR="00845B3A">
        <w:rPr>
          <w:rFonts w:ascii="Arial" w:eastAsia="Arial" w:hAnsi="Arial" w:cs="Arial"/>
          <w:i/>
          <w:sz w:val="24"/>
          <w:szCs w:val="24"/>
        </w:rPr>
        <w:t>Questi alcuni dei risultati di una indagine sulle Dichiarazioni non finanziarie delle imprese italiane, risultati che hanno portato la Fondazione per lo sviluppo sostenibile a individuare queste 6 raccomandazioni per il green reporting:</w:t>
      </w:r>
    </w:p>
    <w:p w14:paraId="0CE182CA" w14:textId="77777777" w:rsidR="00B679AA" w:rsidRPr="00B679AA" w:rsidRDefault="00B679AA" w:rsidP="00B679AA">
      <w:pPr>
        <w:pStyle w:val="Corpo"/>
        <w:numPr>
          <w:ilvl w:val="0"/>
          <w:numId w:val="3"/>
        </w:numPr>
        <w:jc w:val="both"/>
        <w:rPr>
          <w:rFonts w:ascii="Arial" w:eastAsia="Arial" w:hAnsi="Arial" w:cs="Arial"/>
          <w:i/>
          <w:sz w:val="24"/>
          <w:szCs w:val="24"/>
        </w:rPr>
      </w:pPr>
      <w:r w:rsidRPr="00B679AA">
        <w:rPr>
          <w:rFonts w:ascii="Arial" w:eastAsia="Arial" w:hAnsi="Arial" w:cs="Arial"/>
          <w:i/>
          <w:sz w:val="24"/>
          <w:szCs w:val="24"/>
        </w:rPr>
        <w:t>Dare più spazio alle tematiche ambientali:</w:t>
      </w:r>
      <w:r>
        <w:rPr>
          <w:rFonts w:ascii="Arial" w:eastAsia="Arial" w:hAnsi="Arial" w:cs="Arial"/>
          <w:i/>
          <w:sz w:val="24"/>
          <w:szCs w:val="24"/>
        </w:rPr>
        <w:t xml:space="preserve"> </w:t>
      </w:r>
      <w:proofErr w:type="spellStart"/>
      <w:r w:rsidRPr="00B679AA">
        <w:rPr>
          <w:rFonts w:ascii="Arial" w:eastAsia="Arial" w:hAnsi="Arial" w:cs="Arial"/>
          <w:i/>
          <w:sz w:val="24"/>
          <w:szCs w:val="24"/>
        </w:rPr>
        <w:t>planet</w:t>
      </w:r>
      <w:proofErr w:type="spellEnd"/>
      <w:r w:rsidRPr="00B679AA">
        <w:rPr>
          <w:rFonts w:ascii="Arial" w:eastAsia="Arial" w:hAnsi="Arial" w:cs="Arial"/>
          <w:i/>
          <w:sz w:val="24"/>
          <w:szCs w:val="24"/>
        </w:rPr>
        <w:t xml:space="preserve"> first!</w:t>
      </w:r>
    </w:p>
    <w:p w14:paraId="42633748" w14:textId="77777777" w:rsidR="00B679AA" w:rsidRDefault="00B679AA" w:rsidP="00B679AA">
      <w:pPr>
        <w:pStyle w:val="Corpo"/>
        <w:numPr>
          <w:ilvl w:val="0"/>
          <w:numId w:val="3"/>
        </w:numPr>
        <w:jc w:val="both"/>
        <w:rPr>
          <w:rFonts w:ascii="Arial" w:eastAsia="Arial" w:hAnsi="Arial" w:cs="Arial"/>
          <w:i/>
          <w:sz w:val="24"/>
          <w:szCs w:val="24"/>
        </w:rPr>
      </w:pPr>
      <w:r w:rsidRPr="00B679AA">
        <w:rPr>
          <w:rFonts w:ascii="Arial" w:eastAsia="Arial" w:hAnsi="Arial" w:cs="Arial"/>
          <w:i/>
          <w:sz w:val="24"/>
          <w:szCs w:val="24"/>
        </w:rPr>
        <w:t>Dal processo al prodotto: mettere al centro la</w:t>
      </w:r>
      <w:r>
        <w:rPr>
          <w:rFonts w:ascii="Arial" w:eastAsia="Arial" w:hAnsi="Arial" w:cs="Arial"/>
          <w:i/>
          <w:sz w:val="24"/>
          <w:szCs w:val="24"/>
        </w:rPr>
        <w:t xml:space="preserve"> </w:t>
      </w:r>
      <w:r w:rsidRPr="00B679AA">
        <w:rPr>
          <w:rFonts w:ascii="Arial" w:eastAsia="Arial" w:hAnsi="Arial" w:cs="Arial"/>
          <w:i/>
          <w:sz w:val="24"/>
          <w:szCs w:val="24"/>
        </w:rPr>
        <w:t>qualità ambientale dei beni e servizi</w:t>
      </w:r>
    </w:p>
    <w:p w14:paraId="734C8BF6" w14:textId="77777777" w:rsidR="00B679AA" w:rsidRDefault="00B679AA" w:rsidP="00B679AA">
      <w:pPr>
        <w:pStyle w:val="Corpo"/>
        <w:numPr>
          <w:ilvl w:val="0"/>
          <w:numId w:val="3"/>
        </w:numPr>
        <w:jc w:val="both"/>
        <w:rPr>
          <w:rFonts w:ascii="Arial" w:eastAsia="Arial" w:hAnsi="Arial" w:cs="Arial"/>
          <w:i/>
          <w:sz w:val="24"/>
          <w:szCs w:val="24"/>
        </w:rPr>
      </w:pPr>
      <w:r w:rsidRPr="00B679AA">
        <w:rPr>
          <w:rFonts w:ascii="Arial" w:eastAsia="Arial" w:hAnsi="Arial" w:cs="Arial"/>
          <w:i/>
          <w:sz w:val="24"/>
          <w:szCs w:val="24"/>
        </w:rPr>
        <w:t>Obiettivi e target: misurare le proprie performance</w:t>
      </w:r>
      <w:r>
        <w:rPr>
          <w:rFonts w:ascii="Arial" w:eastAsia="Arial" w:hAnsi="Arial" w:cs="Arial"/>
          <w:i/>
          <w:sz w:val="24"/>
          <w:szCs w:val="24"/>
        </w:rPr>
        <w:t xml:space="preserve"> </w:t>
      </w:r>
      <w:r w:rsidRPr="00B679AA">
        <w:rPr>
          <w:rFonts w:ascii="Arial" w:eastAsia="Arial" w:hAnsi="Arial" w:cs="Arial"/>
          <w:i/>
          <w:sz w:val="24"/>
          <w:szCs w:val="24"/>
        </w:rPr>
        <w:t>ambientali</w:t>
      </w:r>
    </w:p>
    <w:p w14:paraId="5AA24F28" w14:textId="77777777" w:rsidR="00B679AA" w:rsidRDefault="00B679AA" w:rsidP="00B679AA">
      <w:pPr>
        <w:pStyle w:val="Corpo"/>
        <w:numPr>
          <w:ilvl w:val="0"/>
          <w:numId w:val="3"/>
        </w:numPr>
        <w:jc w:val="both"/>
        <w:rPr>
          <w:rFonts w:ascii="Arial" w:eastAsia="Arial" w:hAnsi="Arial" w:cs="Arial"/>
          <w:i/>
          <w:sz w:val="24"/>
          <w:szCs w:val="24"/>
        </w:rPr>
      </w:pPr>
      <w:proofErr w:type="spellStart"/>
      <w:r w:rsidRPr="00B679AA">
        <w:rPr>
          <w:rFonts w:ascii="Arial" w:eastAsia="Arial" w:hAnsi="Arial" w:cs="Arial"/>
          <w:i/>
          <w:sz w:val="24"/>
          <w:szCs w:val="24"/>
        </w:rPr>
        <w:t>Climate</w:t>
      </w:r>
      <w:proofErr w:type="spellEnd"/>
      <w:r w:rsidRPr="00B679AA">
        <w:rPr>
          <w:rFonts w:ascii="Arial" w:eastAsia="Arial" w:hAnsi="Arial" w:cs="Arial"/>
          <w:i/>
          <w:sz w:val="24"/>
          <w:szCs w:val="24"/>
        </w:rPr>
        <w:t xml:space="preserve"> action: misurare e ridurre la carbon</w:t>
      </w:r>
      <w:r>
        <w:rPr>
          <w:rFonts w:ascii="Arial" w:eastAsia="Arial" w:hAnsi="Arial" w:cs="Arial"/>
          <w:i/>
          <w:sz w:val="24"/>
          <w:szCs w:val="24"/>
        </w:rPr>
        <w:t xml:space="preserve"> </w:t>
      </w:r>
      <w:r w:rsidRPr="00B679AA">
        <w:rPr>
          <w:rFonts w:ascii="Arial" w:eastAsia="Arial" w:hAnsi="Arial" w:cs="Arial"/>
          <w:i/>
          <w:sz w:val="24"/>
          <w:szCs w:val="24"/>
        </w:rPr>
        <w:t>footprint di processo e di prodotto</w:t>
      </w:r>
    </w:p>
    <w:p w14:paraId="1FC395DD" w14:textId="77777777" w:rsidR="00B679AA" w:rsidRDefault="00B679AA" w:rsidP="00B679AA">
      <w:pPr>
        <w:pStyle w:val="Corpo"/>
        <w:numPr>
          <w:ilvl w:val="0"/>
          <w:numId w:val="3"/>
        </w:numPr>
        <w:jc w:val="both"/>
        <w:rPr>
          <w:rFonts w:ascii="Arial" w:eastAsia="Arial" w:hAnsi="Arial" w:cs="Arial"/>
          <w:i/>
          <w:sz w:val="24"/>
          <w:szCs w:val="24"/>
        </w:rPr>
      </w:pPr>
      <w:r w:rsidRPr="00B679AA">
        <w:rPr>
          <w:rFonts w:ascii="Arial" w:eastAsia="Arial" w:hAnsi="Arial" w:cs="Arial"/>
          <w:i/>
          <w:sz w:val="24"/>
          <w:szCs w:val="24"/>
        </w:rPr>
        <w:t>Circular economy: orientare il modello di business</w:t>
      </w:r>
      <w:r>
        <w:rPr>
          <w:rFonts w:ascii="Arial" w:eastAsia="Arial" w:hAnsi="Arial" w:cs="Arial"/>
          <w:i/>
          <w:sz w:val="24"/>
          <w:szCs w:val="24"/>
        </w:rPr>
        <w:t xml:space="preserve"> </w:t>
      </w:r>
      <w:r w:rsidRPr="00B679AA">
        <w:rPr>
          <w:rFonts w:ascii="Arial" w:eastAsia="Arial" w:hAnsi="Arial" w:cs="Arial"/>
          <w:i/>
          <w:sz w:val="24"/>
          <w:szCs w:val="24"/>
        </w:rPr>
        <w:t>in chiave circolare</w:t>
      </w:r>
    </w:p>
    <w:p w14:paraId="2D58FB14" w14:textId="77777777" w:rsidR="0005591A" w:rsidRPr="00B679AA" w:rsidRDefault="00B679AA" w:rsidP="00B679AA">
      <w:pPr>
        <w:pStyle w:val="Corpo"/>
        <w:numPr>
          <w:ilvl w:val="0"/>
          <w:numId w:val="3"/>
        </w:numPr>
        <w:jc w:val="both"/>
        <w:rPr>
          <w:rFonts w:ascii="Arial" w:eastAsia="Arial" w:hAnsi="Arial" w:cs="Arial"/>
          <w:i/>
          <w:sz w:val="24"/>
          <w:szCs w:val="24"/>
        </w:rPr>
      </w:pPr>
      <w:r w:rsidRPr="00B679AA">
        <w:rPr>
          <w:rFonts w:ascii="Arial" w:eastAsia="Arial" w:hAnsi="Arial" w:cs="Arial"/>
          <w:i/>
          <w:sz w:val="24"/>
          <w:szCs w:val="24"/>
        </w:rPr>
        <w:t>Capitale naturale e biodiversità: un nuovo patto tra</w:t>
      </w:r>
      <w:r>
        <w:rPr>
          <w:rFonts w:ascii="Arial" w:eastAsia="Arial" w:hAnsi="Arial" w:cs="Arial"/>
          <w:i/>
          <w:sz w:val="24"/>
          <w:szCs w:val="24"/>
        </w:rPr>
        <w:t xml:space="preserve"> </w:t>
      </w:r>
      <w:r w:rsidRPr="00B679AA">
        <w:rPr>
          <w:rFonts w:ascii="Arial" w:eastAsia="Arial" w:hAnsi="Arial" w:cs="Arial"/>
          <w:i/>
          <w:sz w:val="24"/>
          <w:szCs w:val="24"/>
        </w:rPr>
        <w:t>imprese e territorio</w:t>
      </w:r>
    </w:p>
    <w:bookmarkEnd w:id="0"/>
    <w:p w14:paraId="49A50628" w14:textId="77777777" w:rsidR="00682D87" w:rsidRDefault="00682D87" w:rsidP="00C53600">
      <w:pPr>
        <w:pStyle w:val="Corpo"/>
        <w:jc w:val="center"/>
        <w:rPr>
          <w:rFonts w:ascii="Arial" w:eastAsia="Arial" w:hAnsi="Arial" w:cs="Arial"/>
          <w:i/>
          <w:iCs/>
          <w:sz w:val="24"/>
          <w:szCs w:val="24"/>
        </w:rPr>
      </w:pPr>
    </w:p>
    <w:p w14:paraId="5AEA08D7" w14:textId="77777777" w:rsidR="00D91747" w:rsidRDefault="00543B15" w:rsidP="00C53600">
      <w:pPr>
        <w:pStyle w:val="Corpo"/>
        <w:jc w:val="both"/>
        <w:rPr>
          <w:rFonts w:ascii="Arial" w:hAnsi="Arial"/>
          <w:sz w:val="24"/>
          <w:szCs w:val="24"/>
        </w:rPr>
      </w:pPr>
      <w:r w:rsidRPr="00A15379">
        <w:rPr>
          <w:rFonts w:ascii="Arial" w:hAnsi="Arial"/>
          <w:i/>
          <w:sz w:val="24"/>
          <w:szCs w:val="24"/>
        </w:rPr>
        <w:t xml:space="preserve">Roma, </w:t>
      </w:r>
      <w:r w:rsidR="00A15379" w:rsidRPr="00A15379">
        <w:rPr>
          <w:rFonts w:ascii="Arial" w:hAnsi="Arial"/>
          <w:i/>
          <w:sz w:val="24"/>
          <w:szCs w:val="24"/>
        </w:rPr>
        <w:t>10</w:t>
      </w:r>
      <w:r w:rsidRPr="00A15379">
        <w:rPr>
          <w:rFonts w:ascii="Arial" w:hAnsi="Arial"/>
          <w:i/>
          <w:sz w:val="24"/>
          <w:szCs w:val="24"/>
        </w:rPr>
        <w:t xml:space="preserve"> Ottobre 2019</w:t>
      </w:r>
      <w:r>
        <w:rPr>
          <w:rFonts w:ascii="Arial" w:hAnsi="Arial"/>
          <w:sz w:val="24"/>
          <w:szCs w:val="24"/>
        </w:rPr>
        <w:t xml:space="preserve"> </w:t>
      </w:r>
      <w:r w:rsidR="00BF68AE">
        <w:rPr>
          <w:rFonts w:ascii="Arial" w:hAnsi="Arial"/>
          <w:sz w:val="24"/>
          <w:szCs w:val="24"/>
        </w:rPr>
        <w:t>–</w:t>
      </w:r>
      <w:r>
        <w:rPr>
          <w:rFonts w:ascii="Arial" w:hAnsi="Arial"/>
          <w:sz w:val="24"/>
          <w:szCs w:val="24"/>
        </w:rPr>
        <w:t xml:space="preserve"> </w:t>
      </w:r>
      <w:r w:rsidR="00BF68AE">
        <w:rPr>
          <w:rFonts w:ascii="Arial" w:hAnsi="Arial"/>
          <w:sz w:val="24"/>
          <w:szCs w:val="24"/>
        </w:rPr>
        <w:t>Sono 6 le “raccomandazioni per il green reporting” che verranno presentate oggi dal</w:t>
      </w:r>
      <w:bookmarkStart w:id="1" w:name="_Hlk21685559"/>
      <w:r w:rsidR="00BF68AE">
        <w:rPr>
          <w:rFonts w:ascii="Arial" w:hAnsi="Arial"/>
          <w:sz w:val="24"/>
          <w:szCs w:val="24"/>
        </w:rPr>
        <w:t xml:space="preserve">la Fondazione per lo sviluppo sostenibile nel corso dell’evento </w:t>
      </w:r>
      <w:r>
        <w:rPr>
          <w:rFonts w:ascii="Arial" w:hAnsi="Arial"/>
          <w:sz w:val="24"/>
          <w:szCs w:val="24"/>
        </w:rPr>
        <w:t>“</w:t>
      </w:r>
      <w:r w:rsidRPr="00D91747">
        <w:rPr>
          <w:rFonts w:ascii="Arial" w:hAnsi="Arial"/>
          <w:b/>
          <w:sz w:val="24"/>
          <w:szCs w:val="24"/>
        </w:rPr>
        <w:t>La green economy nel reporting non finanziario</w:t>
      </w:r>
      <w:r>
        <w:rPr>
          <w:rFonts w:ascii="Arial" w:hAnsi="Arial"/>
          <w:sz w:val="24"/>
          <w:szCs w:val="24"/>
        </w:rPr>
        <w:t>”</w:t>
      </w:r>
      <w:r w:rsidR="00BF68AE">
        <w:rPr>
          <w:rFonts w:ascii="Arial" w:hAnsi="Arial"/>
          <w:sz w:val="24"/>
          <w:szCs w:val="24"/>
        </w:rPr>
        <w:t>, organizzato</w:t>
      </w:r>
      <w:r w:rsidR="00BF68AE" w:rsidRPr="00BF68AE">
        <w:rPr>
          <w:rFonts w:ascii="Arial" w:hAnsi="Arial"/>
          <w:sz w:val="24"/>
          <w:szCs w:val="24"/>
        </w:rPr>
        <w:t xml:space="preserve"> </w:t>
      </w:r>
      <w:r w:rsidR="00BF68AE">
        <w:rPr>
          <w:rFonts w:ascii="Arial" w:hAnsi="Arial"/>
          <w:sz w:val="24"/>
          <w:szCs w:val="24"/>
        </w:rPr>
        <w:t xml:space="preserve">con il supporto di </w:t>
      </w:r>
      <w:proofErr w:type="spellStart"/>
      <w:r w:rsidR="00BF68AE" w:rsidRPr="00D91747">
        <w:rPr>
          <w:rFonts w:ascii="Arial" w:hAnsi="Arial"/>
          <w:b/>
          <w:sz w:val="24"/>
          <w:szCs w:val="24"/>
        </w:rPr>
        <w:t>Itelyum</w:t>
      </w:r>
      <w:proofErr w:type="spellEnd"/>
      <w:r w:rsidR="00BF68AE">
        <w:rPr>
          <w:rFonts w:ascii="Arial" w:hAnsi="Arial"/>
          <w:sz w:val="24"/>
          <w:szCs w:val="24"/>
        </w:rPr>
        <w:t xml:space="preserve">, leader italiano nell’economia circolare, e in partnership con il </w:t>
      </w:r>
      <w:r w:rsidR="00BF68AE" w:rsidRPr="00D91747">
        <w:rPr>
          <w:rFonts w:ascii="Arial" w:hAnsi="Arial"/>
          <w:b/>
          <w:sz w:val="24"/>
          <w:szCs w:val="24"/>
        </w:rPr>
        <w:t xml:space="preserve">Global Compact </w:t>
      </w:r>
      <w:r w:rsidR="00BF68AE">
        <w:rPr>
          <w:rFonts w:ascii="Arial" w:hAnsi="Arial"/>
          <w:b/>
          <w:sz w:val="24"/>
          <w:szCs w:val="24"/>
        </w:rPr>
        <w:t xml:space="preserve">Network </w:t>
      </w:r>
      <w:r w:rsidR="00BF68AE" w:rsidRPr="00D91747">
        <w:rPr>
          <w:rFonts w:ascii="Arial" w:hAnsi="Arial"/>
          <w:b/>
          <w:sz w:val="24"/>
          <w:szCs w:val="24"/>
        </w:rPr>
        <w:t>Italia</w:t>
      </w:r>
      <w:r w:rsidR="00BF68AE">
        <w:rPr>
          <w:rFonts w:ascii="Arial" w:hAnsi="Arial"/>
          <w:sz w:val="24"/>
          <w:szCs w:val="24"/>
        </w:rPr>
        <w:t>.</w:t>
      </w:r>
      <w:r w:rsidR="00BC7B8F">
        <w:rPr>
          <w:rFonts w:ascii="Arial" w:hAnsi="Arial"/>
          <w:sz w:val="24"/>
          <w:szCs w:val="24"/>
        </w:rPr>
        <w:t xml:space="preserve"> </w:t>
      </w:r>
      <w:bookmarkStart w:id="2" w:name="_Hlk21685952"/>
      <w:bookmarkEnd w:id="1"/>
      <w:r w:rsidR="00BF68AE">
        <w:rPr>
          <w:rFonts w:ascii="Arial" w:hAnsi="Arial"/>
          <w:sz w:val="24"/>
          <w:szCs w:val="24"/>
        </w:rPr>
        <w:t>Le raccomandazioni</w:t>
      </w:r>
      <w:r w:rsidR="009541A3">
        <w:rPr>
          <w:rFonts w:ascii="Arial" w:hAnsi="Arial"/>
          <w:sz w:val="24"/>
          <w:szCs w:val="24"/>
        </w:rPr>
        <w:t xml:space="preserve">, finalizzate a fare del reporting uno strumento di strategia e non solo di comunicazione, sono </w:t>
      </w:r>
      <w:r w:rsidR="009541A3" w:rsidRPr="009541A3">
        <w:rPr>
          <w:rFonts w:ascii="Arial" w:hAnsi="Arial"/>
          <w:sz w:val="24"/>
          <w:szCs w:val="24"/>
        </w:rPr>
        <w:t>frutto di una riflessi</w:t>
      </w:r>
      <w:r w:rsidR="009541A3">
        <w:rPr>
          <w:rFonts w:ascii="Arial" w:hAnsi="Arial"/>
          <w:sz w:val="24"/>
          <w:szCs w:val="24"/>
        </w:rPr>
        <w:t>one sui risultati dell’indagine</w:t>
      </w:r>
      <w:r w:rsidR="00124B3C">
        <w:rPr>
          <w:rFonts w:ascii="Arial" w:hAnsi="Arial"/>
          <w:sz w:val="24"/>
          <w:szCs w:val="24"/>
        </w:rPr>
        <w:t xml:space="preserve"> </w:t>
      </w:r>
      <w:r w:rsidR="009541A3">
        <w:rPr>
          <w:rFonts w:ascii="Arial" w:hAnsi="Arial"/>
          <w:sz w:val="24"/>
          <w:szCs w:val="24"/>
        </w:rPr>
        <w:t>svolta dalla</w:t>
      </w:r>
      <w:r w:rsidR="00D91747">
        <w:rPr>
          <w:rFonts w:ascii="Arial" w:hAnsi="Arial"/>
          <w:sz w:val="24"/>
          <w:szCs w:val="24"/>
        </w:rPr>
        <w:t xml:space="preserve"> </w:t>
      </w:r>
      <w:r w:rsidRPr="00D91747">
        <w:rPr>
          <w:rFonts w:ascii="Arial" w:hAnsi="Arial"/>
          <w:b/>
          <w:sz w:val="24"/>
          <w:szCs w:val="24"/>
        </w:rPr>
        <w:t xml:space="preserve">Fondazione </w:t>
      </w:r>
      <w:r w:rsidR="00451528" w:rsidRPr="00B679AA">
        <w:rPr>
          <w:rFonts w:ascii="Arial" w:hAnsi="Arial"/>
          <w:sz w:val="24"/>
          <w:szCs w:val="24"/>
        </w:rPr>
        <w:t>per</w:t>
      </w:r>
      <w:r w:rsidR="005A4A73">
        <w:rPr>
          <w:rFonts w:ascii="Arial" w:hAnsi="Arial"/>
          <w:sz w:val="24"/>
          <w:szCs w:val="24"/>
        </w:rPr>
        <w:t xml:space="preserve"> valutare le modalità e la qualità con cui gli </w:t>
      </w:r>
      <w:r w:rsidR="005A4A73" w:rsidRPr="005A4A73">
        <w:rPr>
          <w:rFonts w:ascii="Arial" w:hAnsi="Arial"/>
          <w:sz w:val="24"/>
          <w:szCs w:val="24"/>
        </w:rPr>
        <w:t xml:space="preserve">aspetti ambientali </w:t>
      </w:r>
      <w:r w:rsidR="005A4A73">
        <w:rPr>
          <w:rFonts w:ascii="Arial" w:hAnsi="Arial"/>
          <w:sz w:val="24"/>
          <w:szCs w:val="24"/>
        </w:rPr>
        <w:t xml:space="preserve">vengono </w:t>
      </w:r>
      <w:r w:rsidR="005A4A73" w:rsidRPr="005A4A73">
        <w:rPr>
          <w:rFonts w:ascii="Arial" w:hAnsi="Arial"/>
          <w:sz w:val="24"/>
          <w:szCs w:val="24"/>
        </w:rPr>
        <w:t>trattati nelle D</w:t>
      </w:r>
      <w:r w:rsidR="005A4A73">
        <w:rPr>
          <w:rFonts w:ascii="Arial" w:hAnsi="Arial"/>
          <w:sz w:val="24"/>
          <w:szCs w:val="24"/>
        </w:rPr>
        <w:t xml:space="preserve">ichiarazioni </w:t>
      </w:r>
      <w:r w:rsidR="005A4A73" w:rsidRPr="005A4A73">
        <w:rPr>
          <w:rFonts w:ascii="Arial" w:hAnsi="Arial"/>
          <w:sz w:val="24"/>
          <w:szCs w:val="24"/>
        </w:rPr>
        <w:t>N</w:t>
      </w:r>
      <w:r w:rsidR="005A4A73">
        <w:rPr>
          <w:rFonts w:ascii="Arial" w:hAnsi="Arial"/>
          <w:sz w:val="24"/>
          <w:szCs w:val="24"/>
        </w:rPr>
        <w:t xml:space="preserve">on </w:t>
      </w:r>
      <w:r w:rsidR="005A4A73" w:rsidRPr="005A4A73">
        <w:rPr>
          <w:rFonts w:ascii="Arial" w:hAnsi="Arial"/>
          <w:sz w:val="24"/>
          <w:szCs w:val="24"/>
        </w:rPr>
        <w:t>F</w:t>
      </w:r>
      <w:r w:rsidR="005A4A73">
        <w:rPr>
          <w:rFonts w:ascii="Arial" w:hAnsi="Arial"/>
          <w:sz w:val="24"/>
          <w:szCs w:val="24"/>
        </w:rPr>
        <w:t>inanziarie</w:t>
      </w:r>
      <w:r w:rsidR="005A4A73" w:rsidRPr="005A4A73">
        <w:rPr>
          <w:rFonts w:ascii="Arial" w:hAnsi="Arial"/>
          <w:sz w:val="24"/>
          <w:szCs w:val="24"/>
        </w:rPr>
        <w:t xml:space="preserve"> </w:t>
      </w:r>
      <w:r w:rsidR="00124B3C">
        <w:rPr>
          <w:rFonts w:ascii="Arial" w:hAnsi="Arial"/>
          <w:sz w:val="24"/>
          <w:szCs w:val="24"/>
        </w:rPr>
        <w:t xml:space="preserve">(DNF) </w:t>
      </w:r>
      <w:r w:rsidR="005A4A73" w:rsidRPr="005A4A73">
        <w:rPr>
          <w:rFonts w:ascii="Arial" w:hAnsi="Arial"/>
          <w:sz w:val="24"/>
          <w:szCs w:val="24"/>
        </w:rPr>
        <w:t>delle imprese italiane</w:t>
      </w:r>
      <w:r w:rsidR="005A4A73">
        <w:rPr>
          <w:rFonts w:ascii="Arial" w:hAnsi="Arial"/>
          <w:sz w:val="24"/>
          <w:szCs w:val="24"/>
        </w:rPr>
        <w:t>.</w:t>
      </w:r>
      <w:bookmarkEnd w:id="2"/>
    </w:p>
    <w:p w14:paraId="5F6217EA" w14:textId="77777777" w:rsidR="00D91747" w:rsidRDefault="00D91747" w:rsidP="00C53600">
      <w:pPr>
        <w:pStyle w:val="Corpo"/>
        <w:jc w:val="both"/>
        <w:rPr>
          <w:rFonts w:ascii="Arial" w:hAnsi="Arial"/>
          <w:sz w:val="24"/>
          <w:szCs w:val="24"/>
        </w:rPr>
      </w:pPr>
    </w:p>
    <w:p w14:paraId="513C56DB" w14:textId="77777777" w:rsidR="004F0640" w:rsidRDefault="005A4A73" w:rsidP="00C53600">
      <w:pPr>
        <w:pStyle w:val="Corpo"/>
        <w:jc w:val="both"/>
        <w:rPr>
          <w:rFonts w:ascii="Arial" w:hAnsi="Arial"/>
          <w:sz w:val="24"/>
          <w:szCs w:val="24"/>
        </w:rPr>
      </w:pPr>
      <w:r>
        <w:rPr>
          <w:rFonts w:ascii="Arial" w:hAnsi="Arial"/>
          <w:sz w:val="24"/>
          <w:szCs w:val="24"/>
        </w:rPr>
        <w:t>L’indagine ha</w:t>
      </w:r>
      <w:r w:rsidR="00FD74E4">
        <w:rPr>
          <w:rFonts w:ascii="Arial" w:hAnsi="Arial"/>
          <w:sz w:val="24"/>
          <w:szCs w:val="24"/>
        </w:rPr>
        <w:t xml:space="preserve"> interessato 130 imprese</w:t>
      </w:r>
      <w:r>
        <w:rPr>
          <w:rFonts w:ascii="Arial" w:hAnsi="Arial"/>
          <w:sz w:val="24"/>
          <w:szCs w:val="24"/>
        </w:rPr>
        <w:t xml:space="preserve"> delle oltre 200 obbligate a rendicontare informazioni non</w:t>
      </w:r>
      <w:r w:rsidR="00451528">
        <w:rPr>
          <w:rFonts w:ascii="Arial" w:hAnsi="Arial"/>
          <w:sz w:val="24"/>
          <w:szCs w:val="24"/>
        </w:rPr>
        <w:t xml:space="preserve"> finanziarie nel rispetto del D.</w:t>
      </w:r>
      <w:r>
        <w:rPr>
          <w:rFonts w:ascii="Arial" w:hAnsi="Arial"/>
          <w:sz w:val="24"/>
          <w:szCs w:val="24"/>
        </w:rPr>
        <w:t>Lgs. 254 del 2016</w:t>
      </w:r>
      <w:r w:rsidR="00124B3C">
        <w:rPr>
          <w:rFonts w:ascii="Arial" w:hAnsi="Arial"/>
          <w:sz w:val="24"/>
          <w:szCs w:val="24"/>
        </w:rPr>
        <w:t>.</w:t>
      </w:r>
      <w:r w:rsidR="00D91747">
        <w:rPr>
          <w:rFonts w:ascii="Arial" w:hAnsi="Arial"/>
          <w:sz w:val="24"/>
          <w:szCs w:val="24"/>
        </w:rPr>
        <w:t xml:space="preserve"> </w:t>
      </w:r>
      <w:r w:rsidR="00124B3C">
        <w:rPr>
          <w:rFonts w:ascii="Arial" w:hAnsi="Arial"/>
          <w:sz w:val="24"/>
          <w:szCs w:val="24"/>
        </w:rPr>
        <w:t>Le DNF delle imprese del campione sono state interrogate sulla base di una griglia di 86 indicatori chiave, allo scopo di fare il punto sullo stato del reporting non finanziario con un focus dal punto di vista della green economy</w:t>
      </w:r>
      <w:r w:rsidR="00451528">
        <w:rPr>
          <w:rFonts w:ascii="Arial" w:hAnsi="Arial"/>
          <w:sz w:val="24"/>
          <w:szCs w:val="24"/>
        </w:rPr>
        <w:t xml:space="preserve"> toccando i temi del cambiamento climatico, dell’economia circolare e del capitale naturale e biodiversità</w:t>
      </w:r>
      <w:r w:rsidR="00124B3C">
        <w:rPr>
          <w:rFonts w:ascii="Arial" w:hAnsi="Arial"/>
          <w:sz w:val="24"/>
          <w:szCs w:val="24"/>
        </w:rPr>
        <w:t xml:space="preserve">. </w:t>
      </w:r>
      <w:r w:rsidR="00451528">
        <w:rPr>
          <w:rFonts w:ascii="Arial" w:hAnsi="Arial"/>
          <w:sz w:val="24"/>
          <w:szCs w:val="24"/>
        </w:rPr>
        <w:t xml:space="preserve">Le 6 raccomandazioni rappresentano dei suggerimenti </w:t>
      </w:r>
      <w:r w:rsidR="004952A2">
        <w:rPr>
          <w:rFonts w:ascii="Arial" w:hAnsi="Arial"/>
          <w:sz w:val="24"/>
          <w:szCs w:val="24"/>
        </w:rPr>
        <w:t>per un green reporting e per sopperire alle principali criticità emerse dall’indagine.</w:t>
      </w:r>
    </w:p>
    <w:p w14:paraId="12DCEA26" w14:textId="77777777" w:rsidR="00202EC7" w:rsidRDefault="00202EC7" w:rsidP="00C53600">
      <w:pPr>
        <w:pStyle w:val="Corpo"/>
        <w:jc w:val="both"/>
        <w:rPr>
          <w:rFonts w:ascii="Arial" w:hAnsi="Arial"/>
          <w:sz w:val="24"/>
          <w:szCs w:val="24"/>
        </w:rPr>
      </w:pPr>
    </w:p>
    <w:p w14:paraId="400F7E6F" w14:textId="77777777" w:rsidR="004F0640" w:rsidRDefault="00202EC7" w:rsidP="00C53600">
      <w:pPr>
        <w:pStyle w:val="Corpo"/>
        <w:jc w:val="both"/>
        <w:rPr>
          <w:rFonts w:ascii="Arial" w:hAnsi="Arial"/>
          <w:sz w:val="24"/>
          <w:szCs w:val="24"/>
        </w:rPr>
      </w:pPr>
      <w:r>
        <w:rPr>
          <w:rFonts w:ascii="Arial" w:hAnsi="Arial"/>
          <w:sz w:val="24"/>
          <w:szCs w:val="24"/>
        </w:rPr>
        <w:t>In primis, la</w:t>
      </w:r>
      <w:r w:rsidR="00DC3FCC">
        <w:rPr>
          <w:rFonts w:ascii="Arial" w:hAnsi="Arial"/>
          <w:sz w:val="24"/>
          <w:szCs w:val="24"/>
        </w:rPr>
        <w:t xml:space="preserve"> dimensione ambientale è sempre presente negli strumenti di reporting non fi</w:t>
      </w:r>
      <w:r>
        <w:rPr>
          <w:rFonts w:ascii="Arial" w:hAnsi="Arial"/>
          <w:sz w:val="24"/>
          <w:szCs w:val="24"/>
        </w:rPr>
        <w:t>nanziario, ma raramente viene rappresentata in modo adeguato</w:t>
      </w:r>
      <w:r w:rsidR="00DC3FCC">
        <w:rPr>
          <w:rFonts w:ascii="Arial" w:hAnsi="Arial"/>
          <w:sz w:val="24"/>
          <w:szCs w:val="24"/>
        </w:rPr>
        <w:t xml:space="preserve">. </w:t>
      </w:r>
      <w:r w:rsidR="00EA3512">
        <w:rPr>
          <w:rFonts w:ascii="Arial" w:hAnsi="Arial"/>
          <w:sz w:val="24"/>
          <w:szCs w:val="24"/>
        </w:rPr>
        <w:t>N</w:t>
      </w:r>
      <w:r>
        <w:rPr>
          <w:rFonts w:ascii="Arial" w:hAnsi="Arial"/>
          <w:sz w:val="24"/>
          <w:szCs w:val="24"/>
        </w:rPr>
        <w:t>elle liste e matrici di materialità delle imprese, il 21% degli aspetti indicati sono di tipo ambientale, e degli indicatori totalmente rendicontati il 33% riguardano performance ambientali.</w:t>
      </w:r>
    </w:p>
    <w:p w14:paraId="2D723EDE" w14:textId="77777777" w:rsidR="00EA3512" w:rsidRDefault="00274A01" w:rsidP="00C53600">
      <w:pPr>
        <w:pStyle w:val="Corpo"/>
        <w:jc w:val="both"/>
        <w:rPr>
          <w:rFonts w:ascii="Arial" w:hAnsi="Arial"/>
          <w:sz w:val="24"/>
          <w:szCs w:val="24"/>
        </w:rPr>
      </w:pPr>
      <w:r>
        <w:rPr>
          <w:rFonts w:ascii="Arial" w:hAnsi="Arial"/>
          <w:sz w:val="24"/>
          <w:szCs w:val="24"/>
        </w:rPr>
        <w:t xml:space="preserve">Con riferimento agli impatti ambientali derivanti dalle proprie </w:t>
      </w:r>
      <w:r w:rsidR="00EA3512">
        <w:rPr>
          <w:rFonts w:ascii="Arial" w:hAnsi="Arial"/>
          <w:sz w:val="24"/>
          <w:szCs w:val="24"/>
        </w:rPr>
        <w:t xml:space="preserve">attività, le imprese sono </w:t>
      </w:r>
      <w:r>
        <w:rPr>
          <w:rFonts w:ascii="Arial" w:hAnsi="Arial"/>
          <w:sz w:val="24"/>
          <w:szCs w:val="24"/>
        </w:rPr>
        <w:t>consapevoli dell’</w:t>
      </w:r>
      <w:r w:rsidR="001A10F3">
        <w:rPr>
          <w:rFonts w:ascii="Arial" w:hAnsi="Arial"/>
          <w:sz w:val="24"/>
          <w:szCs w:val="24"/>
        </w:rPr>
        <w:t>importanza di</w:t>
      </w:r>
      <w:r w:rsidR="00EA3512">
        <w:rPr>
          <w:rFonts w:ascii="Arial" w:hAnsi="Arial"/>
          <w:sz w:val="24"/>
          <w:szCs w:val="24"/>
        </w:rPr>
        <w:t xml:space="preserve"> misurarli e monitorarli</w:t>
      </w:r>
      <w:r>
        <w:rPr>
          <w:rFonts w:ascii="Arial" w:hAnsi="Arial"/>
          <w:sz w:val="24"/>
          <w:szCs w:val="24"/>
        </w:rPr>
        <w:t xml:space="preserve">, </w:t>
      </w:r>
      <w:r w:rsidR="00EA3512">
        <w:rPr>
          <w:rFonts w:ascii="Arial" w:hAnsi="Arial"/>
          <w:sz w:val="24"/>
          <w:szCs w:val="24"/>
        </w:rPr>
        <w:t xml:space="preserve">tuttavia tali misurazioni ricoprono </w:t>
      </w:r>
      <w:r w:rsidR="00EA3512">
        <w:rPr>
          <w:rFonts w:ascii="Arial" w:hAnsi="Arial"/>
          <w:sz w:val="24"/>
          <w:szCs w:val="24"/>
        </w:rPr>
        <w:lastRenderedPageBreak/>
        <w:t>nella maggior parte dei casi un perimetro limitato all’attività degli uffici e dei processi produttivi, tenendo fuori i beni e servizi. Sono</w:t>
      </w:r>
      <w:r w:rsidR="001A10F3">
        <w:rPr>
          <w:rFonts w:ascii="Arial" w:hAnsi="Arial"/>
          <w:sz w:val="24"/>
          <w:szCs w:val="24"/>
        </w:rPr>
        <w:t>, invece, proprio</w:t>
      </w:r>
      <w:r w:rsidR="00EA3512">
        <w:rPr>
          <w:rFonts w:ascii="Arial" w:hAnsi="Arial"/>
          <w:sz w:val="24"/>
          <w:szCs w:val="24"/>
        </w:rPr>
        <w:t xml:space="preserve"> i prodotti </w:t>
      </w:r>
      <w:r w:rsidR="001A10F3">
        <w:rPr>
          <w:rFonts w:ascii="Arial" w:hAnsi="Arial"/>
          <w:sz w:val="24"/>
          <w:szCs w:val="24"/>
        </w:rPr>
        <w:t>gli artefici dei maggiori i</w:t>
      </w:r>
      <w:r w:rsidR="00EA3512">
        <w:rPr>
          <w:rFonts w:ascii="Arial" w:hAnsi="Arial"/>
          <w:sz w:val="24"/>
          <w:szCs w:val="24"/>
        </w:rPr>
        <w:t>mpatti ambientali negativi</w:t>
      </w:r>
      <w:r w:rsidR="001A10F3">
        <w:rPr>
          <w:rFonts w:ascii="Arial" w:hAnsi="Arial"/>
          <w:sz w:val="24"/>
          <w:szCs w:val="24"/>
        </w:rPr>
        <w:t>,</w:t>
      </w:r>
      <w:r w:rsidR="00EA3512">
        <w:rPr>
          <w:rFonts w:ascii="Arial" w:hAnsi="Arial"/>
          <w:sz w:val="24"/>
          <w:szCs w:val="24"/>
        </w:rPr>
        <w:t xml:space="preserve"> ma solo l’8% delle imprese valuta in qualche modo le performance ambientali di questi ultimi.</w:t>
      </w:r>
      <w:r w:rsidR="00F42287">
        <w:rPr>
          <w:rFonts w:ascii="Arial" w:hAnsi="Arial"/>
          <w:sz w:val="24"/>
          <w:szCs w:val="24"/>
        </w:rPr>
        <w:t xml:space="preserve"> Mentre l’11% rendiconta interventi di miglioramento delle performance di circolarità sul design del prodotto o sul proprio modello di business.</w:t>
      </w:r>
    </w:p>
    <w:p w14:paraId="12E29CA0" w14:textId="77777777" w:rsidR="00EA3512" w:rsidRDefault="00EA3512" w:rsidP="00C53600">
      <w:pPr>
        <w:pStyle w:val="Corpo"/>
        <w:jc w:val="both"/>
        <w:rPr>
          <w:rFonts w:ascii="Arial" w:hAnsi="Arial"/>
          <w:sz w:val="24"/>
          <w:szCs w:val="24"/>
        </w:rPr>
      </w:pPr>
    </w:p>
    <w:p w14:paraId="1A9F4EAA" w14:textId="77777777" w:rsidR="004F0640" w:rsidRDefault="00ED7AFB" w:rsidP="00C53600">
      <w:pPr>
        <w:pStyle w:val="Corpo"/>
        <w:jc w:val="both"/>
        <w:rPr>
          <w:rFonts w:ascii="Arial" w:hAnsi="Arial"/>
          <w:sz w:val="24"/>
          <w:szCs w:val="24"/>
        </w:rPr>
      </w:pPr>
      <w:r>
        <w:rPr>
          <w:rFonts w:ascii="Arial" w:hAnsi="Arial"/>
          <w:sz w:val="24"/>
          <w:szCs w:val="24"/>
        </w:rPr>
        <w:t>Il 92% delle imprese rendiconta serie storiche delle proprie emissioni di gas serra, un dato alto, ma solo il 35% delle imprese rendiconta le proprie emissioni nel perimetro più ampio della propria catena del valore (Scope 3).</w:t>
      </w:r>
    </w:p>
    <w:p w14:paraId="6C998D7F" w14:textId="77777777" w:rsidR="00986BF8" w:rsidRDefault="00986BF8" w:rsidP="00C53600">
      <w:pPr>
        <w:pStyle w:val="Corpo"/>
        <w:jc w:val="both"/>
        <w:rPr>
          <w:rFonts w:ascii="Arial" w:hAnsi="Arial"/>
          <w:sz w:val="24"/>
          <w:szCs w:val="24"/>
        </w:rPr>
      </w:pPr>
    </w:p>
    <w:p w14:paraId="59D634C0" w14:textId="77777777" w:rsidR="00D91747" w:rsidRDefault="00806CD6" w:rsidP="00C53600">
      <w:pPr>
        <w:pStyle w:val="Corpo"/>
        <w:jc w:val="both"/>
        <w:rPr>
          <w:rFonts w:ascii="Arial" w:hAnsi="Arial"/>
          <w:sz w:val="24"/>
          <w:szCs w:val="24"/>
        </w:rPr>
      </w:pPr>
      <w:r>
        <w:rPr>
          <w:rFonts w:ascii="Arial" w:hAnsi="Arial"/>
          <w:sz w:val="24"/>
          <w:szCs w:val="24"/>
        </w:rPr>
        <w:t>In ottica d</w:t>
      </w:r>
      <w:r w:rsidR="00986BF8">
        <w:rPr>
          <w:rFonts w:ascii="Arial" w:hAnsi="Arial"/>
          <w:sz w:val="24"/>
          <w:szCs w:val="24"/>
        </w:rPr>
        <w:t xml:space="preserve">i </w:t>
      </w:r>
      <w:r w:rsidR="00986BF8" w:rsidRPr="00B679AA">
        <w:rPr>
          <w:rFonts w:ascii="Arial" w:hAnsi="Arial"/>
          <w:sz w:val="24"/>
          <w:szCs w:val="24"/>
        </w:rPr>
        <w:t>economia circolare</w:t>
      </w:r>
      <w:r w:rsidR="00986BF8">
        <w:rPr>
          <w:rFonts w:ascii="Arial" w:hAnsi="Arial"/>
          <w:sz w:val="24"/>
          <w:szCs w:val="24"/>
        </w:rPr>
        <w:t xml:space="preserve"> </w:t>
      </w:r>
      <w:r>
        <w:rPr>
          <w:rFonts w:ascii="Arial" w:hAnsi="Arial"/>
          <w:sz w:val="24"/>
          <w:szCs w:val="24"/>
        </w:rPr>
        <w:t>solo</w:t>
      </w:r>
      <w:r w:rsidR="00986BF8">
        <w:rPr>
          <w:rFonts w:ascii="Arial" w:hAnsi="Arial"/>
          <w:sz w:val="24"/>
          <w:szCs w:val="24"/>
        </w:rPr>
        <w:t xml:space="preserve"> l</w:t>
      </w:r>
      <w:r w:rsidR="00986BF8" w:rsidRPr="00986BF8">
        <w:rPr>
          <w:rFonts w:ascii="Arial" w:hAnsi="Arial"/>
          <w:sz w:val="24"/>
          <w:szCs w:val="24"/>
        </w:rPr>
        <w:t>’11% delle imprese rendicontano interventi di migliora</w:t>
      </w:r>
      <w:r w:rsidR="00986BF8" w:rsidRPr="00986BF8">
        <w:rPr>
          <w:rFonts w:ascii="Arial" w:hAnsi="Arial"/>
          <w:sz w:val="24"/>
          <w:szCs w:val="24"/>
        </w:rPr>
        <w:softHyphen/>
        <w:t xml:space="preserve">mento della performance di circolarità </w:t>
      </w:r>
      <w:r w:rsidR="00986BF8">
        <w:rPr>
          <w:rFonts w:ascii="Arial" w:hAnsi="Arial"/>
          <w:sz w:val="24"/>
          <w:szCs w:val="24"/>
        </w:rPr>
        <w:t>a partire dal</w:t>
      </w:r>
      <w:r w:rsidR="00986BF8" w:rsidRPr="00986BF8">
        <w:rPr>
          <w:rFonts w:ascii="Arial" w:hAnsi="Arial"/>
          <w:sz w:val="24"/>
          <w:szCs w:val="24"/>
        </w:rPr>
        <w:t xml:space="preserve"> design del prodotto o sul proprio modello di business. </w:t>
      </w:r>
      <w:r w:rsidR="00986BF8">
        <w:rPr>
          <w:rFonts w:ascii="Arial" w:hAnsi="Arial"/>
          <w:sz w:val="24"/>
          <w:szCs w:val="24"/>
        </w:rPr>
        <w:t>Sono invece il 28% le imprese che rendicontano le percentuali di approvvigionamento di materia prima riciclata e il 31% quelle che descrivono le azioni tese al ridurre l’utilizzo di materia prima vergine.</w:t>
      </w:r>
    </w:p>
    <w:p w14:paraId="09B28E15" w14:textId="77777777" w:rsidR="00682D87" w:rsidRDefault="00682D87" w:rsidP="00C53600">
      <w:pPr>
        <w:pStyle w:val="Corpo"/>
        <w:jc w:val="both"/>
        <w:rPr>
          <w:rFonts w:ascii="Arial" w:eastAsia="Arial" w:hAnsi="Arial" w:cs="Arial"/>
          <w:sz w:val="24"/>
          <w:szCs w:val="24"/>
        </w:rPr>
      </w:pPr>
    </w:p>
    <w:p w14:paraId="2201776D" w14:textId="77777777" w:rsidR="00323CFE" w:rsidRDefault="00806CD6" w:rsidP="00C53600">
      <w:pPr>
        <w:pStyle w:val="Corpo"/>
        <w:jc w:val="both"/>
        <w:rPr>
          <w:rFonts w:ascii="Arial" w:hAnsi="Arial"/>
          <w:sz w:val="24"/>
          <w:szCs w:val="24"/>
        </w:rPr>
      </w:pPr>
      <w:r>
        <w:rPr>
          <w:rFonts w:ascii="Arial" w:hAnsi="Arial"/>
          <w:sz w:val="24"/>
          <w:szCs w:val="24"/>
        </w:rPr>
        <w:t xml:space="preserve">Nonostante il tema della biodiversità </w:t>
      </w:r>
      <w:r w:rsidR="00323CFE">
        <w:rPr>
          <w:rFonts w:ascii="Arial" w:hAnsi="Arial"/>
          <w:sz w:val="24"/>
          <w:szCs w:val="24"/>
        </w:rPr>
        <w:t>s</w:t>
      </w:r>
      <w:r>
        <w:rPr>
          <w:rFonts w:ascii="Arial" w:hAnsi="Arial"/>
          <w:sz w:val="24"/>
          <w:szCs w:val="24"/>
        </w:rPr>
        <w:t xml:space="preserve">ia toccato dal 45% dei report analizzati, </w:t>
      </w:r>
      <w:r w:rsidR="00323CFE">
        <w:rPr>
          <w:rFonts w:ascii="Arial" w:hAnsi="Arial"/>
          <w:sz w:val="24"/>
          <w:szCs w:val="24"/>
        </w:rPr>
        <w:t xml:space="preserve">appena il 12% delle imprese lo considera materiale. La perdita della biodiversità, la ridotta funzionalità degli ecosistemi, la diminuzione della </w:t>
      </w:r>
      <w:r w:rsidR="00C0714C">
        <w:rPr>
          <w:rFonts w:ascii="Arial" w:hAnsi="Arial"/>
          <w:sz w:val="24"/>
          <w:szCs w:val="24"/>
        </w:rPr>
        <w:t>resilienza</w:t>
      </w:r>
      <w:r w:rsidR="00323CFE">
        <w:rPr>
          <w:rFonts w:ascii="Arial" w:hAnsi="Arial"/>
          <w:sz w:val="24"/>
          <w:szCs w:val="24"/>
        </w:rPr>
        <w:t xml:space="preserve"> ecologica possono retroagire sulle imprese e sulle filiere produttive, generando nuovi rischi e richiedendo strategie e azioni differenti</w:t>
      </w:r>
      <w:r w:rsidR="00C0714C">
        <w:rPr>
          <w:rFonts w:ascii="Arial" w:hAnsi="Arial"/>
          <w:sz w:val="24"/>
          <w:szCs w:val="24"/>
        </w:rPr>
        <w:t>. Per questo è importante che le imprese misurino e siano consapevoli dei propri potenziali fattori di impatto sul contesto ambientale e della loro relazione con la biodiversità: attualmente solo l’8% delle  imprese effettua tale tipo di rendicontazione.</w:t>
      </w:r>
      <w:r w:rsidR="00323CFE">
        <w:rPr>
          <w:rFonts w:ascii="Arial" w:hAnsi="Arial"/>
          <w:sz w:val="24"/>
          <w:szCs w:val="24"/>
        </w:rPr>
        <w:t xml:space="preserve"> </w:t>
      </w:r>
    </w:p>
    <w:p w14:paraId="2D4F4220" w14:textId="77777777" w:rsidR="00382038" w:rsidRDefault="00382038" w:rsidP="00C53600">
      <w:pPr>
        <w:pStyle w:val="Corpo"/>
        <w:jc w:val="both"/>
        <w:rPr>
          <w:rFonts w:ascii="Arial" w:eastAsia="Arial" w:hAnsi="Arial" w:cs="Arial"/>
          <w:sz w:val="24"/>
          <w:szCs w:val="24"/>
        </w:rPr>
      </w:pPr>
    </w:p>
    <w:p w14:paraId="54A8A1F0" w14:textId="77777777" w:rsidR="00DC436B" w:rsidRDefault="00C46E4A" w:rsidP="006222D2">
      <w:pPr>
        <w:pStyle w:val="corpo0"/>
        <w:jc w:val="both"/>
      </w:pPr>
      <w:r>
        <w:rPr>
          <w:rFonts w:ascii="Arial" w:hAnsi="Arial" w:cs="Arial Unicode MS"/>
        </w:rPr>
        <w:t>«</w:t>
      </w:r>
      <w:r>
        <w:rPr>
          <w:rFonts w:ascii="Arial" w:hAnsi="Arial" w:cs="Arial Unicode MS"/>
          <w:i/>
        </w:rPr>
        <w:t xml:space="preserve">La transizione alla green economy richiede il pieno coinvolgimento del mondo delle imprese.  </w:t>
      </w:r>
      <w:r>
        <w:rPr>
          <w:rFonts w:ascii="Arial" w:hAnsi="Arial" w:cs="Arial Unicode MS"/>
        </w:rPr>
        <w:t xml:space="preserve">– ha dichiarato </w:t>
      </w:r>
      <w:r>
        <w:rPr>
          <w:rFonts w:ascii="Arial" w:hAnsi="Arial" w:cs="Arial Unicode MS"/>
          <w:b/>
        </w:rPr>
        <w:t>Edo Ronchi</w:t>
      </w:r>
      <w:r>
        <w:rPr>
          <w:rFonts w:ascii="Arial" w:hAnsi="Arial" w:cs="Arial Unicode MS"/>
        </w:rPr>
        <w:t xml:space="preserve">, Presidente della Fondazione sviluppo sostenibile – </w:t>
      </w:r>
      <w:r>
        <w:rPr>
          <w:rFonts w:ascii="Arial" w:hAnsi="Arial" w:cs="Arial Unicode MS"/>
          <w:i/>
        </w:rPr>
        <w:t>Questo necessariamente richiede agli imprenditori di innovare approcci e strumenti, inclusi quelli legati alla rendicontazione non finanziaria. Con questa indagine abbiamo voluto verificare il livello raggiunto dagli attuali strumenti di rendicontazione in relazione ai criteri e agli obiettivi di green economy. Ne sono scaturite  6 raccomandazioni che mi auguro possano essere utili alle imprese per trasformare il reporting in un efficace strumento di orientamento strategico e di innovazione green dei propri modelli di business.</w:t>
      </w:r>
      <w:r>
        <w:rPr>
          <w:rFonts w:ascii="Arial" w:hAnsi="Arial" w:cs="Arial Unicode MS"/>
        </w:rPr>
        <w:t xml:space="preserve">». </w:t>
      </w:r>
    </w:p>
    <w:p w14:paraId="645945A2" w14:textId="77777777" w:rsidR="00DC436B" w:rsidRPr="00DC436B" w:rsidRDefault="00DC436B" w:rsidP="00382038">
      <w:pPr>
        <w:pStyle w:val="Corpo"/>
        <w:jc w:val="both"/>
        <w:rPr>
          <w:rFonts w:ascii="Arial" w:hAnsi="Arial"/>
          <w:sz w:val="24"/>
          <w:szCs w:val="24"/>
        </w:rPr>
      </w:pPr>
      <w:r w:rsidRPr="00DC436B">
        <w:rPr>
          <w:rFonts w:ascii="Arial" w:hAnsi="Arial"/>
          <w:sz w:val="24"/>
          <w:szCs w:val="24"/>
        </w:rPr>
        <w:t>«</w:t>
      </w:r>
      <w:bookmarkStart w:id="3" w:name="_Hlk21698368"/>
      <w:bookmarkStart w:id="4" w:name="_GoBack"/>
      <w:r w:rsidR="00DD3A9B">
        <w:rPr>
          <w:rFonts w:ascii="Arial" w:hAnsi="Arial"/>
          <w:i/>
          <w:sz w:val="24"/>
          <w:szCs w:val="24"/>
        </w:rPr>
        <w:t xml:space="preserve">E’ necessario </w:t>
      </w:r>
      <w:r w:rsidR="008A5FDC">
        <w:rPr>
          <w:rFonts w:ascii="Arial" w:hAnsi="Arial"/>
          <w:i/>
          <w:sz w:val="24"/>
          <w:szCs w:val="24"/>
        </w:rPr>
        <w:t>applicare al</w:t>
      </w:r>
      <w:r w:rsidR="00DD3A9B">
        <w:rPr>
          <w:rFonts w:ascii="Arial" w:hAnsi="Arial"/>
          <w:i/>
          <w:sz w:val="24"/>
          <w:szCs w:val="24"/>
        </w:rPr>
        <w:t xml:space="preserve"> green reporting</w:t>
      </w:r>
      <w:r w:rsidR="008A5FDC">
        <w:rPr>
          <w:rFonts w:ascii="Arial" w:hAnsi="Arial"/>
          <w:i/>
          <w:sz w:val="24"/>
          <w:szCs w:val="24"/>
        </w:rPr>
        <w:t xml:space="preserve"> indicatori </w:t>
      </w:r>
      <w:r w:rsidR="00DD3A9B">
        <w:rPr>
          <w:rFonts w:ascii="Arial" w:hAnsi="Arial"/>
          <w:i/>
          <w:sz w:val="24"/>
          <w:szCs w:val="24"/>
        </w:rPr>
        <w:t>omogenei</w:t>
      </w:r>
      <w:r w:rsidR="008A5FDC">
        <w:rPr>
          <w:rFonts w:ascii="Arial" w:hAnsi="Arial"/>
          <w:i/>
          <w:sz w:val="24"/>
          <w:szCs w:val="24"/>
        </w:rPr>
        <w:t xml:space="preserve"> per</w:t>
      </w:r>
      <w:r w:rsidR="00DD3A9B">
        <w:rPr>
          <w:rFonts w:ascii="Arial" w:hAnsi="Arial"/>
          <w:i/>
          <w:sz w:val="24"/>
          <w:szCs w:val="24"/>
        </w:rPr>
        <w:t xml:space="preserve"> poter misurare l’operato non solo della singola azienda ma anche</w:t>
      </w:r>
      <w:r w:rsidR="008A5FDC">
        <w:rPr>
          <w:rFonts w:ascii="Arial" w:hAnsi="Arial"/>
          <w:i/>
          <w:sz w:val="24"/>
          <w:szCs w:val="24"/>
        </w:rPr>
        <w:t xml:space="preserve"> </w:t>
      </w:r>
      <w:r w:rsidR="00DD3A9B">
        <w:rPr>
          <w:rFonts w:ascii="Arial" w:hAnsi="Arial"/>
          <w:i/>
          <w:sz w:val="24"/>
          <w:szCs w:val="24"/>
        </w:rPr>
        <w:t xml:space="preserve">di gruppi di imprese </w:t>
      </w:r>
      <w:r w:rsidR="008A5FDC">
        <w:rPr>
          <w:rFonts w:ascii="Arial" w:hAnsi="Arial"/>
          <w:i/>
          <w:sz w:val="24"/>
          <w:szCs w:val="24"/>
        </w:rPr>
        <w:t>come avviene nella rendicontazione finanziaria</w:t>
      </w:r>
      <w:r w:rsidR="008A5FDC">
        <w:rPr>
          <w:rFonts w:ascii="Arial" w:hAnsi="Arial"/>
          <w:sz w:val="24"/>
          <w:szCs w:val="24"/>
        </w:rPr>
        <w:t xml:space="preserve"> </w:t>
      </w:r>
      <w:r w:rsidR="00DD3A9B">
        <w:rPr>
          <w:rFonts w:ascii="Arial" w:hAnsi="Arial"/>
          <w:sz w:val="24"/>
          <w:szCs w:val="24"/>
        </w:rPr>
        <w:t>-</w:t>
      </w:r>
      <w:r w:rsidRPr="00DC436B">
        <w:rPr>
          <w:rFonts w:ascii="Arial" w:hAnsi="Arial"/>
          <w:sz w:val="24"/>
          <w:szCs w:val="24"/>
        </w:rPr>
        <w:t xml:space="preserve"> ha dichiarato </w:t>
      </w:r>
      <w:r w:rsidRPr="00DC436B">
        <w:rPr>
          <w:rFonts w:ascii="Arial" w:hAnsi="Arial"/>
          <w:b/>
          <w:sz w:val="24"/>
          <w:szCs w:val="24"/>
        </w:rPr>
        <w:t xml:space="preserve">Antonio </w:t>
      </w:r>
      <w:proofErr w:type="spellStart"/>
      <w:r w:rsidRPr="00DC436B">
        <w:rPr>
          <w:rFonts w:ascii="Arial" w:hAnsi="Arial"/>
          <w:b/>
          <w:sz w:val="24"/>
          <w:szCs w:val="24"/>
        </w:rPr>
        <w:t>Lazzarinetti</w:t>
      </w:r>
      <w:proofErr w:type="spellEnd"/>
      <w:r>
        <w:rPr>
          <w:rFonts w:ascii="Arial" w:hAnsi="Arial"/>
          <w:sz w:val="24"/>
          <w:szCs w:val="24"/>
        </w:rPr>
        <w:t xml:space="preserve">, Presidente di </w:t>
      </w:r>
      <w:proofErr w:type="spellStart"/>
      <w:r>
        <w:rPr>
          <w:rFonts w:ascii="Arial" w:hAnsi="Arial"/>
          <w:sz w:val="24"/>
          <w:szCs w:val="24"/>
        </w:rPr>
        <w:t>Itelyum</w:t>
      </w:r>
      <w:proofErr w:type="spellEnd"/>
      <w:r w:rsidR="00DD3A9B">
        <w:rPr>
          <w:rFonts w:ascii="Arial" w:hAnsi="Arial"/>
          <w:sz w:val="24"/>
          <w:szCs w:val="24"/>
        </w:rPr>
        <w:t xml:space="preserve">, </w:t>
      </w:r>
      <w:r w:rsidR="004F7D3C">
        <w:rPr>
          <w:rFonts w:ascii="Arial" w:hAnsi="Arial"/>
          <w:sz w:val="24"/>
          <w:szCs w:val="24"/>
        </w:rPr>
        <w:t>gruppo leader nell’</w:t>
      </w:r>
      <w:r w:rsidR="00DD3A9B">
        <w:rPr>
          <w:rFonts w:ascii="Arial" w:hAnsi="Arial"/>
          <w:sz w:val="24"/>
          <w:szCs w:val="24"/>
        </w:rPr>
        <w:t>economia circolare</w:t>
      </w:r>
      <w:r w:rsidR="004F7D3C">
        <w:rPr>
          <w:rFonts w:ascii="Arial" w:hAnsi="Arial"/>
          <w:sz w:val="24"/>
          <w:szCs w:val="24"/>
        </w:rPr>
        <w:t xml:space="preserve"> con 20.000 clienti in 60 paesi</w:t>
      </w:r>
      <w:r w:rsidR="00DD3A9B">
        <w:rPr>
          <w:rFonts w:ascii="Arial" w:hAnsi="Arial"/>
          <w:sz w:val="24"/>
          <w:szCs w:val="24"/>
        </w:rPr>
        <w:t xml:space="preserve"> -. </w:t>
      </w:r>
      <w:r w:rsidR="00DD3A9B" w:rsidRPr="00DD3A9B">
        <w:rPr>
          <w:rFonts w:ascii="Arial" w:hAnsi="Arial"/>
          <w:i/>
          <w:sz w:val="24"/>
          <w:szCs w:val="24"/>
        </w:rPr>
        <w:t>Ciò consentirà di misurare le performance di settori omogenei, nell’industria manifatturiera e in quella dei servizi, e di fornire alle istituzioni elementi preziosi per lo sviluppo di politiche industriali orientate alla sostenibilità</w:t>
      </w:r>
      <w:bookmarkEnd w:id="3"/>
      <w:bookmarkEnd w:id="4"/>
      <w:r w:rsidR="00DD3A9B" w:rsidRPr="00DD3A9B">
        <w:rPr>
          <w:rFonts w:ascii="Arial" w:hAnsi="Arial"/>
          <w:i/>
          <w:sz w:val="24"/>
          <w:szCs w:val="24"/>
        </w:rPr>
        <w:t>.</w:t>
      </w:r>
      <w:r w:rsidRPr="00DC436B">
        <w:rPr>
          <w:rFonts w:ascii="Arial" w:hAnsi="Arial"/>
          <w:sz w:val="24"/>
          <w:szCs w:val="24"/>
        </w:rPr>
        <w:t xml:space="preserve">» </w:t>
      </w:r>
    </w:p>
    <w:p w14:paraId="4FD142B3" w14:textId="77777777" w:rsidR="00DC436B" w:rsidRDefault="00DC436B" w:rsidP="00382038">
      <w:pPr>
        <w:pStyle w:val="Corpo"/>
        <w:jc w:val="both"/>
      </w:pPr>
    </w:p>
    <w:p w14:paraId="29F8A79E" w14:textId="77777777" w:rsidR="00F15410" w:rsidRPr="00DC436B" w:rsidRDefault="00F15410" w:rsidP="00F15410">
      <w:pPr>
        <w:pStyle w:val="Corpo"/>
        <w:jc w:val="both"/>
        <w:rPr>
          <w:rFonts w:ascii="Arial" w:hAnsi="Arial"/>
          <w:sz w:val="24"/>
          <w:szCs w:val="24"/>
        </w:rPr>
      </w:pPr>
      <w:r w:rsidRPr="00DC436B">
        <w:rPr>
          <w:rFonts w:ascii="Arial" w:hAnsi="Arial"/>
          <w:sz w:val="24"/>
          <w:szCs w:val="24"/>
        </w:rPr>
        <w:t>«</w:t>
      </w:r>
      <w:r>
        <w:rPr>
          <w:rFonts w:ascii="Arial" w:hAnsi="Arial"/>
          <w:i/>
          <w:sz w:val="24"/>
          <w:szCs w:val="24"/>
        </w:rPr>
        <w:t xml:space="preserve">La sostenibilità sta acquisendo rapidamente rilevanza strategica e il tema dell’accountability è in una fase di evoluzione ben descritta nell’analisi svolta dalla </w:t>
      </w:r>
      <w:r>
        <w:rPr>
          <w:rFonts w:ascii="Arial" w:hAnsi="Arial"/>
          <w:i/>
          <w:sz w:val="24"/>
          <w:szCs w:val="24"/>
        </w:rPr>
        <w:lastRenderedPageBreak/>
        <w:t xml:space="preserve">Fondazione per lo sviluppo sostenibile, che si è in particolare concentrata sulla dimensione ambientale. Le imprese sono infatti chiamate, anche dal mondo della finanza, a fornire una rappresentazione sempre più rigorosa del loro contributo alle sfide globali che l’Agenda 2030 ha tracciato  </w:t>
      </w:r>
      <w:r w:rsidRPr="00DC436B">
        <w:rPr>
          <w:rFonts w:ascii="Arial" w:hAnsi="Arial"/>
          <w:sz w:val="24"/>
          <w:szCs w:val="24"/>
        </w:rPr>
        <w:t xml:space="preserve">– ha dichiarato </w:t>
      </w:r>
      <w:r>
        <w:rPr>
          <w:rFonts w:ascii="Arial" w:hAnsi="Arial"/>
          <w:b/>
          <w:sz w:val="24"/>
          <w:szCs w:val="24"/>
        </w:rPr>
        <w:t>Marco Frey</w:t>
      </w:r>
      <w:r>
        <w:rPr>
          <w:rFonts w:ascii="Arial" w:hAnsi="Arial"/>
          <w:sz w:val="24"/>
          <w:szCs w:val="24"/>
        </w:rPr>
        <w:t>, Presidente della Fondazione Global Compact Italia</w:t>
      </w:r>
      <w:r w:rsidRPr="00DC436B">
        <w:rPr>
          <w:rFonts w:ascii="Arial" w:hAnsi="Arial"/>
          <w:sz w:val="24"/>
          <w:szCs w:val="24"/>
        </w:rPr>
        <w:t xml:space="preserve"> –». </w:t>
      </w:r>
    </w:p>
    <w:p w14:paraId="43432307" w14:textId="77777777" w:rsidR="00DC436B" w:rsidRDefault="00DC436B" w:rsidP="00382038">
      <w:pPr>
        <w:pStyle w:val="Corpo"/>
        <w:jc w:val="both"/>
      </w:pPr>
    </w:p>
    <w:p w14:paraId="01A39A17" w14:textId="77777777" w:rsidR="00845434" w:rsidRPr="00B679AA" w:rsidRDefault="00E45665" w:rsidP="00382038">
      <w:pPr>
        <w:pStyle w:val="Corpo"/>
        <w:jc w:val="both"/>
        <w:rPr>
          <w:rFonts w:ascii="Arial" w:hAnsi="Arial"/>
          <w:sz w:val="24"/>
          <w:szCs w:val="24"/>
        </w:rPr>
      </w:pPr>
      <w:bookmarkStart w:id="5" w:name="_Hlk21685607"/>
      <w:r w:rsidRPr="00B679AA">
        <w:rPr>
          <w:rFonts w:ascii="Arial" w:hAnsi="Arial"/>
          <w:sz w:val="24"/>
          <w:szCs w:val="24"/>
        </w:rPr>
        <w:t>Il documento “6 Raccomandazioni per il green reporting”</w:t>
      </w:r>
      <w:bookmarkEnd w:id="5"/>
      <w:r w:rsidRPr="00B679AA">
        <w:rPr>
          <w:rFonts w:ascii="Arial" w:hAnsi="Arial"/>
          <w:sz w:val="24"/>
          <w:szCs w:val="24"/>
        </w:rPr>
        <w:t xml:space="preserve"> e la versione integrale dell’indagine con i risultati degli 86 indicatori sono scaricabili online dalla sezione pubblicazioni del sito </w:t>
      </w:r>
      <w:hyperlink r:id="rId7" w:history="1">
        <w:r w:rsidRPr="00B679AA">
          <w:rPr>
            <w:rFonts w:ascii="Arial" w:hAnsi="Arial"/>
            <w:sz w:val="24"/>
            <w:szCs w:val="24"/>
          </w:rPr>
          <w:t>www.fondazioneperlosvilupposostenibile.org</w:t>
        </w:r>
      </w:hyperlink>
      <w:r w:rsidR="00C0714C">
        <w:rPr>
          <w:rFonts w:ascii="Arial" w:hAnsi="Arial"/>
          <w:sz w:val="24"/>
          <w:szCs w:val="24"/>
        </w:rPr>
        <w:t xml:space="preserve">  </w:t>
      </w:r>
      <w:r w:rsidRPr="00B679AA">
        <w:rPr>
          <w:rFonts w:ascii="Arial" w:hAnsi="Arial"/>
          <w:sz w:val="24"/>
          <w:szCs w:val="24"/>
        </w:rPr>
        <w:t xml:space="preserve"> </w:t>
      </w:r>
    </w:p>
    <w:p w14:paraId="7C5B0FF6" w14:textId="77777777" w:rsidR="00845434" w:rsidRPr="00845434" w:rsidRDefault="00845434" w:rsidP="00845434">
      <w:pPr>
        <w:rPr>
          <w:lang w:val="it-IT" w:eastAsia="it-IT"/>
        </w:rPr>
      </w:pPr>
    </w:p>
    <w:p w14:paraId="4C8045A1" w14:textId="77777777" w:rsidR="00845434" w:rsidRPr="00845434" w:rsidRDefault="00845434" w:rsidP="00845434">
      <w:pPr>
        <w:rPr>
          <w:lang w:val="it-IT" w:eastAsia="it-IT"/>
        </w:rPr>
      </w:pPr>
    </w:p>
    <w:p w14:paraId="6FFC2134" w14:textId="77777777" w:rsidR="00845434" w:rsidRPr="00845434" w:rsidRDefault="00845434" w:rsidP="00845434">
      <w:pPr>
        <w:rPr>
          <w:lang w:val="it-IT" w:eastAsia="it-IT"/>
        </w:rPr>
      </w:pPr>
    </w:p>
    <w:p w14:paraId="3692C16D" w14:textId="77777777" w:rsidR="00845434" w:rsidRPr="00845434" w:rsidRDefault="00845434" w:rsidP="00845434">
      <w:pPr>
        <w:rPr>
          <w:lang w:val="it-IT" w:eastAsia="it-IT"/>
        </w:rPr>
      </w:pPr>
    </w:p>
    <w:p w14:paraId="37133E0D" w14:textId="77777777" w:rsidR="00845434" w:rsidRPr="00845434" w:rsidRDefault="00845434" w:rsidP="00845434">
      <w:pPr>
        <w:rPr>
          <w:lang w:val="it-IT" w:eastAsia="it-IT"/>
        </w:rPr>
      </w:pPr>
    </w:p>
    <w:p w14:paraId="78404F30" w14:textId="77777777" w:rsidR="00845434" w:rsidRPr="00845434" w:rsidRDefault="00845434" w:rsidP="00845434">
      <w:pPr>
        <w:rPr>
          <w:lang w:val="it-IT" w:eastAsia="it-IT"/>
        </w:rPr>
      </w:pPr>
    </w:p>
    <w:p w14:paraId="562AD5CE" w14:textId="77777777" w:rsidR="00845434" w:rsidRPr="00845434" w:rsidRDefault="00845434" w:rsidP="00845434">
      <w:pPr>
        <w:rPr>
          <w:lang w:val="it-IT" w:eastAsia="it-IT"/>
        </w:rPr>
      </w:pPr>
    </w:p>
    <w:p w14:paraId="445912EE" w14:textId="77777777" w:rsidR="00845434" w:rsidRPr="00845434" w:rsidRDefault="00845434" w:rsidP="00845434">
      <w:pPr>
        <w:rPr>
          <w:lang w:val="it-IT" w:eastAsia="it-IT"/>
        </w:rPr>
      </w:pPr>
    </w:p>
    <w:p w14:paraId="28381F29" w14:textId="77777777" w:rsidR="00845434" w:rsidRPr="00845434" w:rsidRDefault="00845434" w:rsidP="00845434">
      <w:pPr>
        <w:rPr>
          <w:lang w:val="it-IT" w:eastAsia="it-IT"/>
        </w:rPr>
      </w:pPr>
    </w:p>
    <w:p w14:paraId="0C10348D" w14:textId="77777777" w:rsidR="00845434" w:rsidRPr="00845434" w:rsidRDefault="00845434" w:rsidP="00845434">
      <w:pPr>
        <w:rPr>
          <w:lang w:val="it-IT" w:eastAsia="it-IT"/>
        </w:rPr>
      </w:pPr>
    </w:p>
    <w:p w14:paraId="64BCB1BA" w14:textId="77777777" w:rsidR="00845434" w:rsidRPr="00845434" w:rsidRDefault="00845434" w:rsidP="00845434">
      <w:pPr>
        <w:rPr>
          <w:lang w:val="it-IT" w:eastAsia="it-IT"/>
        </w:rPr>
      </w:pPr>
    </w:p>
    <w:p w14:paraId="35FB28BA" w14:textId="77777777" w:rsidR="00845434" w:rsidRPr="00845434" w:rsidRDefault="00845434" w:rsidP="00845434">
      <w:pPr>
        <w:rPr>
          <w:lang w:val="it-IT" w:eastAsia="it-IT"/>
        </w:rPr>
      </w:pPr>
    </w:p>
    <w:p w14:paraId="7F564095" w14:textId="77777777" w:rsidR="00845434" w:rsidRDefault="00845434" w:rsidP="00845434">
      <w:pPr>
        <w:rPr>
          <w:lang w:val="it-IT" w:eastAsia="it-IT"/>
        </w:rPr>
      </w:pPr>
    </w:p>
    <w:p w14:paraId="2AF88C3E" w14:textId="77777777" w:rsidR="00DC436B" w:rsidRPr="00845434" w:rsidRDefault="00DC436B" w:rsidP="00845434">
      <w:pPr>
        <w:jc w:val="center"/>
        <w:rPr>
          <w:lang w:val="it-IT" w:eastAsia="it-IT"/>
        </w:rPr>
      </w:pPr>
    </w:p>
    <w:sectPr w:rsidR="00DC436B" w:rsidRPr="00845434" w:rsidSect="001B0B97">
      <w:headerReference w:type="default" r:id="rId8"/>
      <w:footerReference w:type="default" r:id="rId9"/>
      <w:pgSz w:w="11906" w:h="16838"/>
      <w:pgMar w:top="1701" w:right="1134" w:bottom="1418" w:left="1418"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340B8" w14:textId="77777777" w:rsidR="00847150" w:rsidRDefault="00847150">
      <w:r>
        <w:separator/>
      </w:r>
    </w:p>
  </w:endnote>
  <w:endnote w:type="continuationSeparator" w:id="0">
    <w:p w14:paraId="0C1AE143" w14:textId="77777777" w:rsidR="00847150" w:rsidRDefault="0084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E50002FF" w:usb1="500079DB" w:usb2="00000010" w:usb3="00000000" w:csb0="00000001" w:csb1="00000000"/>
  </w:font>
  <w:font w:name="DINPro-Regular">
    <w:altName w:val="DINPro-Regular"/>
    <w:panose1 w:val="00000000000000000000"/>
    <w:charset w:val="00"/>
    <w:family w:val="swiss"/>
    <w:notTrueType/>
    <w:pitch w:val="default"/>
    <w:sig w:usb0="00000003" w:usb1="00000000" w:usb2="00000000" w:usb3="00000000" w:csb0="00000001" w:csb1="00000000"/>
  </w:font>
  <w:font w:name="Segoe UI">
    <w:altName w:val="Sylfaen"/>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2ECA9" w14:textId="77777777" w:rsidR="00F15410" w:rsidRDefault="00F15410">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A2743" w14:textId="77777777" w:rsidR="00847150" w:rsidRDefault="00847150">
      <w:r>
        <w:separator/>
      </w:r>
    </w:p>
  </w:footnote>
  <w:footnote w:type="continuationSeparator" w:id="0">
    <w:p w14:paraId="79FCB22C" w14:textId="77777777" w:rsidR="00847150" w:rsidRDefault="00847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7B1C0D" w14:paraId="12BB20A4" w14:textId="77777777" w:rsidTr="007B1C0D">
      <w:trPr>
        <w:trHeight w:val="60"/>
      </w:trPr>
      <w:tc>
        <w:tcPr>
          <w:tcW w:w="3114" w:type="dxa"/>
        </w:tcPr>
        <w:p w14:paraId="459DBC81" w14:textId="77777777" w:rsidR="007B1C0D" w:rsidRDefault="007B1C0D" w:rsidP="007B1C0D">
          <w:pPr>
            <w:pStyle w:val="Corpo"/>
            <w:pBdr>
              <w:top w:val="none" w:sz="0" w:space="0" w:color="auto"/>
              <w:left w:val="none" w:sz="0" w:space="0" w:color="auto"/>
              <w:bottom w:val="none" w:sz="0" w:space="0" w:color="auto"/>
              <w:right w:val="none" w:sz="0" w:space="0" w:color="auto"/>
              <w:between w:val="none" w:sz="0" w:space="0" w:color="auto"/>
              <w:bar w:val="none" w:sz="0" w:color="auto"/>
            </w:pBdr>
            <w:jc w:val="both"/>
          </w:pPr>
        </w:p>
      </w:tc>
      <w:tc>
        <w:tcPr>
          <w:tcW w:w="3115" w:type="dxa"/>
        </w:tcPr>
        <w:p w14:paraId="4F557A67" w14:textId="77777777" w:rsidR="007B1C0D" w:rsidRPr="00453C14" w:rsidRDefault="007B1C0D" w:rsidP="007B1C0D">
          <w:pPr>
            <w:pStyle w:val="Corpo"/>
            <w:pBdr>
              <w:top w:val="none" w:sz="0" w:space="0" w:color="auto"/>
              <w:left w:val="none" w:sz="0" w:space="0" w:color="auto"/>
              <w:bottom w:val="none" w:sz="0" w:space="0" w:color="auto"/>
              <w:right w:val="none" w:sz="0" w:space="0" w:color="auto"/>
              <w:between w:val="none" w:sz="0" w:space="0" w:color="auto"/>
              <w:bar w:val="none" w:sz="0" w:color="auto"/>
            </w:pBdr>
            <w:jc w:val="both"/>
            <w:rPr>
              <w:sz w:val="16"/>
            </w:rPr>
          </w:pPr>
          <w:r w:rsidRPr="00453C14">
            <w:rPr>
              <w:sz w:val="16"/>
            </w:rPr>
            <w:t>in partnership con</w:t>
          </w:r>
        </w:p>
      </w:tc>
      <w:tc>
        <w:tcPr>
          <w:tcW w:w="3115" w:type="dxa"/>
        </w:tcPr>
        <w:p w14:paraId="1D459D95" w14:textId="77777777" w:rsidR="007B1C0D" w:rsidRPr="00453C14" w:rsidRDefault="007B1C0D" w:rsidP="007B1C0D">
          <w:pPr>
            <w:pStyle w:val="Corpo"/>
            <w:pBdr>
              <w:top w:val="none" w:sz="0" w:space="0" w:color="auto"/>
              <w:left w:val="none" w:sz="0" w:space="0" w:color="auto"/>
              <w:bottom w:val="none" w:sz="0" w:space="0" w:color="auto"/>
              <w:right w:val="none" w:sz="0" w:space="0" w:color="auto"/>
              <w:between w:val="none" w:sz="0" w:space="0" w:color="auto"/>
              <w:bar w:val="none" w:sz="0" w:color="auto"/>
            </w:pBdr>
            <w:jc w:val="both"/>
            <w:rPr>
              <w:sz w:val="16"/>
            </w:rPr>
          </w:pPr>
          <w:r w:rsidRPr="00453C14">
            <w:rPr>
              <w:sz w:val="16"/>
            </w:rPr>
            <w:t>con il supporto di</w:t>
          </w:r>
        </w:p>
      </w:tc>
    </w:tr>
    <w:tr w:rsidR="007B1C0D" w14:paraId="220F4335" w14:textId="77777777" w:rsidTr="007B1C0D">
      <w:tc>
        <w:tcPr>
          <w:tcW w:w="3114" w:type="dxa"/>
        </w:tcPr>
        <w:p w14:paraId="2FE0004E" w14:textId="77777777" w:rsidR="007B1C0D" w:rsidRDefault="007B1C0D" w:rsidP="007B1C0D">
          <w:pPr>
            <w:pStyle w:val="Corpo"/>
            <w:pBdr>
              <w:top w:val="none" w:sz="0" w:space="0" w:color="auto"/>
              <w:left w:val="none" w:sz="0" w:space="0" w:color="auto"/>
              <w:bottom w:val="none" w:sz="0" w:space="0" w:color="auto"/>
              <w:right w:val="none" w:sz="0" w:space="0" w:color="auto"/>
              <w:between w:val="none" w:sz="0" w:space="0" w:color="auto"/>
              <w:bar w:val="none" w:sz="0" w:color="auto"/>
            </w:pBdr>
            <w:jc w:val="both"/>
          </w:pPr>
          <w:r>
            <w:rPr>
              <w:noProof/>
            </w:rPr>
            <w:drawing>
              <wp:inline distT="0" distB="0" distL="0" distR="0" wp14:anchorId="0A1782AD" wp14:editId="42FCCE69">
                <wp:extent cx="1134110" cy="511810"/>
                <wp:effectExtent l="0" t="0" r="8890" b="254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511810"/>
                        </a:xfrm>
                        <a:prstGeom prst="rect">
                          <a:avLst/>
                        </a:prstGeom>
                        <a:noFill/>
                      </pic:spPr>
                    </pic:pic>
                  </a:graphicData>
                </a:graphic>
              </wp:inline>
            </w:drawing>
          </w:r>
        </w:p>
      </w:tc>
      <w:tc>
        <w:tcPr>
          <w:tcW w:w="3115" w:type="dxa"/>
        </w:tcPr>
        <w:p w14:paraId="3F788A2D" w14:textId="77777777" w:rsidR="007B1C0D" w:rsidRDefault="007B1C0D" w:rsidP="007B1C0D">
          <w:pPr>
            <w:pStyle w:val="Corpo"/>
            <w:pBdr>
              <w:top w:val="none" w:sz="0" w:space="0" w:color="auto"/>
              <w:left w:val="none" w:sz="0" w:space="0" w:color="auto"/>
              <w:bottom w:val="none" w:sz="0" w:space="0" w:color="auto"/>
              <w:right w:val="none" w:sz="0" w:space="0" w:color="auto"/>
              <w:between w:val="none" w:sz="0" w:space="0" w:color="auto"/>
              <w:bar w:val="none" w:sz="0" w:color="auto"/>
            </w:pBdr>
            <w:jc w:val="both"/>
          </w:pPr>
          <w:r>
            <w:rPr>
              <w:noProof/>
            </w:rPr>
            <w:drawing>
              <wp:inline distT="0" distB="0" distL="0" distR="0" wp14:anchorId="77876862" wp14:editId="20BC7A6E">
                <wp:extent cx="1341120" cy="42037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1120" cy="420370"/>
                        </a:xfrm>
                        <a:prstGeom prst="rect">
                          <a:avLst/>
                        </a:prstGeom>
                        <a:noFill/>
                      </pic:spPr>
                    </pic:pic>
                  </a:graphicData>
                </a:graphic>
              </wp:inline>
            </w:drawing>
          </w:r>
        </w:p>
      </w:tc>
      <w:tc>
        <w:tcPr>
          <w:tcW w:w="3115" w:type="dxa"/>
        </w:tcPr>
        <w:p w14:paraId="0E59B206" w14:textId="77777777" w:rsidR="007B1C0D" w:rsidRDefault="007B1C0D" w:rsidP="007B1C0D">
          <w:pPr>
            <w:pStyle w:val="Corpo"/>
            <w:pBdr>
              <w:top w:val="none" w:sz="0" w:space="0" w:color="auto"/>
              <w:left w:val="none" w:sz="0" w:space="0" w:color="auto"/>
              <w:bottom w:val="none" w:sz="0" w:space="0" w:color="auto"/>
              <w:right w:val="none" w:sz="0" w:space="0" w:color="auto"/>
              <w:between w:val="none" w:sz="0" w:space="0" w:color="auto"/>
              <w:bar w:val="none" w:sz="0" w:color="auto"/>
            </w:pBdr>
            <w:jc w:val="both"/>
          </w:pPr>
          <w:r>
            <w:rPr>
              <w:noProof/>
            </w:rPr>
            <w:drawing>
              <wp:inline distT="0" distB="0" distL="0" distR="0" wp14:anchorId="79B18721" wp14:editId="2A99ED88">
                <wp:extent cx="1225550" cy="384175"/>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5550" cy="384175"/>
                        </a:xfrm>
                        <a:prstGeom prst="rect">
                          <a:avLst/>
                        </a:prstGeom>
                        <a:noFill/>
                      </pic:spPr>
                    </pic:pic>
                  </a:graphicData>
                </a:graphic>
              </wp:inline>
            </w:drawing>
          </w:r>
        </w:p>
      </w:tc>
    </w:tr>
  </w:tbl>
  <w:p w14:paraId="3E92167B" w14:textId="77777777" w:rsidR="00682D87" w:rsidRDefault="007B1C0D" w:rsidP="00B679AA">
    <w:pPr>
      <w:tabs>
        <w:tab w:val="left" w:pos="241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635E1"/>
    <w:multiLevelType w:val="hybridMultilevel"/>
    <w:tmpl w:val="6D1A0A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9275B03"/>
    <w:multiLevelType w:val="hybridMultilevel"/>
    <w:tmpl w:val="BCC090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42D343B"/>
    <w:multiLevelType w:val="hybridMultilevel"/>
    <w:tmpl w:val="D6CAA8AE"/>
    <w:lvl w:ilvl="0" w:tplc="0DAAB71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2D87"/>
    <w:rsid w:val="00017798"/>
    <w:rsid w:val="00023DD2"/>
    <w:rsid w:val="0005591A"/>
    <w:rsid w:val="00072A82"/>
    <w:rsid w:val="00124B3C"/>
    <w:rsid w:val="001362BE"/>
    <w:rsid w:val="001A10F3"/>
    <w:rsid w:val="001B0B97"/>
    <w:rsid w:val="00202EC7"/>
    <w:rsid w:val="00274A01"/>
    <w:rsid w:val="00312042"/>
    <w:rsid w:val="00323CFE"/>
    <w:rsid w:val="00382038"/>
    <w:rsid w:val="00397C2C"/>
    <w:rsid w:val="00407309"/>
    <w:rsid w:val="00451528"/>
    <w:rsid w:val="0046345E"/>
    <w:rsid w:val="00485BCC"/>
    <w:rsid w:val="004952A2"/>
    <w:rsid w:val="004F0640"/>
    <w:rsid w:val="004F7D3C"/>
    <w:rsid w:val="00536118"/>
    <w:rsid w:val="00543B15"/>
    <w:rsid w:val="005A4A73"/>
    <w:rsid w:val="006222D2"/>
    <w:rsid w:val="00682D87"/>
    <w:rsid w:val="007B1C0D"/>
    <w:rsid w:val="00806CD6"/>
    <w:rsid w:val="00845434"/>
    <w:rsid w:val="00845B3A"/>
    <w:rsid w:val="00847150"/>
    <w:rsid w:val="008A2D8D"/>
    <w:rsid w:val="008A5FDC"/>
    <w:rsid w:val="008B53AA"/>
    <w:rsid w:val="009541A3"/>
    <w:rsid w:val="00986BF8"/>
    <w:rsid w:val="009926CA"/>
    <w:rsid w:val="00A15379"/>
    <w:rsid w:val="00A16E68"/>
    <w:rsid w:val="00B457BB"/>
    <w:rsid w:val="00B679AA"/>
    <w:rsid w:val="00BC7B8F"/>
    <w:rsid w:val="00BF68AE"/>
    <w:rsid w:val="00C0714C"/>
    <w:rsid w:val="00C46E4A"/>
    <w:rsid w:val="00C53600"/>
    <w:rsid w:val="00CB7269"/>
    <w:rsid w:val="00D02E1A"/>
    <w:rsid w:val="00D91747"/>
    <w:rsid w:val="00DC3FCC"/>
    <w:rsid w:val="00DC436B"/>
    <w:rsid w:val="00DD3A9B"/>
    <w:rsid w:val="00DF6209"/>
    <w:rsid w:val="00DF6BC7"/>
    <w:rsid w:val="00E45665"/>
    <w:rsid w:val="00E472BA"/>
    <w:rsid w:val="00EA3512"/>
    <w:rsid w:val="00ED13E2"/>
    <w:rsid w:val="00ED7AFB"/>
    <w:rsid w:val="00F10B50"/>
    <w:rsid w:val="00F15410"/>
    <w:rsid w:val="00F37CB2"/>
    <w:rsid w:val="00F42287"/>
    <w:rsid w:val="00F710E5"/>
    <w:rsid w:val="00FD74E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C1D1F0"/>
  <w15:docId w15:val="{35FE8A92-9933-4225-A1C3-5D383C9F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paragraph" w:styleId="Intestazione">
    <w:name w:val="header"/>
    <w:basedOn w:val="Normale"/>
    <w:link w:val="IntestazioneCarattere"/>
    <w:uiPriority w:val="99"/>
    <w:unhideWhenUsed/>
    <w:rsid w:val="001B0B97"/>
    <w:pPr>
      <w:tabs>
        <w:tab w:val="center" w:pos="4819"/>
        <w:tab w:val="right" w:pos="9638"/>
      </w:tabs>
    </w:pPr>
  </w:style>
  <w:style w:type="character" w:customStyle="1" w:styleId="IntestazioneCarattere">
    <w:name w:val="Intestazione Carattere"/>
    <w:basedOn w:val="Carpredefinitoparagrafo"/>
    <w:link w:val="Intestazione"/>
    <w:uiPriority w:val="99"/>
    <w:rsid w:val="001B0B97"/>
    <w:rPr>
      <w:sz w:val="24"/>
      <w:szCs w:val="24"/>
      <w:lang w:val="en-US" w:eastAsia="en-US"/>
    </w:rPr>
  </w:style>
  <w:style w:type="paragraph" w:styleId="Pidipagina">
    <w:name w:val="footer"/>
    <w:basedOn w:val="Normale"/>
    <w:link w:val="PidipaginaCarattere"/>
    <w:uiPriority w:val="99"/>
    <w:unhideWhenUsed/>
    <w:rsid w:val="001B0B97"/>
    <w:pPr>
      <w:tabs>
        <w:tab w:val="center" w:pos="4819"/>
        <w:tab w:val="right" w:pos="9638"/>
      </w:tabs>
    </w:pPr>
  </w:style>
  <w:style w:type="character" w:customStyle="1" w:styleId="PidipaginaCarattere">
    <w:name w:val="Piè di pagina Carattere"/>
    <w:basedOn w:val="Carpredefinitoparagrafo"/>
    <w:link w:val="Pidipagina"/>
    <w:uiPriority w:val="99"/>
    <w:rsid w:val="001B0B97"/>
    <w:rPr>
      <w:sz w:val="24"/>
      <w:szCs w:val="24"/>
      <w:lang w:val="en-US" w:eastAsia="en-US"/>
    </w:rPr>
  </w:style>
  <w:style w:type="paragraph" w:customStyle="1" w:styleId="Default">
    <w:name w:val="Default"/>
    <w:rsid w:val="00986B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DINPro-Regular" w:eastAsiaTheme="minorHAnsi" w:hAnsi="DINPro-Regular" w:cs="DINPro-Regular"/>
      <w:color w:val="000000"/>
      <w:sz w:val="24"/>
      <w:szCs w:val="24"/>
      <w:bdr w:val="none" w:sz="0" w:space="0" w:color="auto"/>
      <w:lang w:eastAsia="en-US"/>
    </w:rPr>
  </w:style>
  <w:style w:type="paragraph" w:styleId="NormaleWeb">
    <w:name w:val="Normal (Web)"/>
    <w:basedOn w:val="Normale"/>
    <w:uiPriority w:val="99"/>
    <w:semiHidden/>
    <w:unhideWhenUsed/>
    <w:rsid w:val="0038203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paragraph" w:styleId="Testofumetto">
    <w:name w:val="Balloon Text"/>
    <w:basedOn w:val="Normale"/>
    <w:link w:val="TestofumettoCarattere"/>
    <w:uiPriority w:val="99"/>
    <w:semiHidden/>
    <w:unhideWhenUsed/>
    <w:rsid w:val="007B1C0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B1C0D"/>
    <w:rPr>
      <w:rFonts w:ascii="Segoe UI" w:hAnsi="Segoe UI" w:cs="Segoe UI"/>
      <w:sz w:val="18"/>
      <w:szCs w:val="18"/>
      <w:lang w:val="en-US" w:eastAsia="en-US"/>
    </w:rPr>
  </w:style>
  <w:style w:type="table" w:styleId="Grigliatabella">
    <w:name w:val="Table Grid"/>
    <w:basedOn w:val="Tabellanormale"/>
    <w:uiPriority w:val="39"/>
    <w:rsid w:val="007B1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0">
    <w:name w:val="corpo"/>
    <w:basedOn w:val="Normale"/>
    <w:rsid w:val="00C46E4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color w:val="000000"/>
      <w:bdr w:val="none" w:sz="0" w:space="0" w:color="auto"/>
      <w:lang w:val="it-IT" w:eastAsia="it-IT"/>
    </w:rPr>
  </w:style>
  <w:style w:type="character" w:styleId="Numeropagina">
    <w:name w:val="page number"/>
    <w:basedOn w:val="Carpredefinitoparagrafo"/>
    <w:uiPriority w:val="99"/>
    <w:semiHidden/>
    <w:unhideWhenUsed/>
    <w:rsid w:val="00F15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589246">
      <w:bodyDiv w:val="1"/>
      <w:marLeft w:val="0"/>
      <w:marRight w:val="0"/>
      <w:marTop w:val="0"/>
      <w:marBottom w:val="0"/>
      <w:divBdr>
        <w:top w:val="none" w:sz="0" w:space="0" w:color="auto"/>
        <w:left w:val="none" w:sz="0" w:space="0" w:color="auto"/>
        <w:bottom w:val="none" w:sz="0" w:space="0" w:color="auto"/>
        <w:right w:val="none" w:sz="0" w:space="0" w:color="auto"/>
      </w:divBdr>
    </w:div>
    <w:div w:id="1180196964">
      <w:bodyDiv w:val="1"/>
      <w:marLeft w:val="0"/>
      <w:marRight w:val="0"/>
      <w:marTop w:val="0"/>
      <w:marBottom w:val="0"/>
      <w:divBdr>
        <w:top w:val="none" w:sz="0" w:space="0" w:color="auto"/>
        <w:left w:val="none" w:sz="0" w:space="0" w:color="auto"/>
        <w:bottom w:val="none" w:sz="0" w:space="0" w:color="auto"/>
        <w:right w:val="none" w:sz="0" w:space="0" w:color="auto"/>
      </w:divBdr>
      <w:divsChild>
        <w:div w:id="1790004108">
          <w:marLeft w:val="0"/>
          <w:marRight w:val="0"/>
          <w:marTop w:val="0"/>
          <w:marBottom w:val="0"/>
          <w:divBdr>
            <w:top w:val="none" w:sz="0" w:space="0" w:color="auto"/>
            <w:left w:val="none" w:sz="0" w:space="0" w:color="auto"/>
            <w:bottom w:val="none" w:sz="0" w:space="0" w:color="auto"/>
            <w:right w:val="none" w:sz="0" w:space="0" w:color="auto"/>
          </w:divBdr>
          <w:divsChild>
            <w:div w:id="292097244">
              <w:marLeft w:val="0"/>
              <w:marRight w:val="0"/>
              <w:marTop w:val="0"/>
              <w:marBottom w:val="0"/>
              <w:divBdr>
                <w:top w:val="none" w:sz="0" w:space="0" w:color="auto"/>
                <w:left w:val="none" w:sz="0" w:space="0" w:color="auto"/>
                <w:bottom w:val="none" w:sz="0" w:space="0" w:color="auto"/>
                <w:right w:val="none" w:sz="0" w:space="0" w:color="auto"/>
              </w:divBdr>
              <w:divsChild>
                <w:div w:id="1383291070">
                  <w:marLeft w:val="0"/>
                  <w:marRight w:val="0"/>
                  <w:marTop w:val="0"/>
                  <w:marBottom w:val="0"/>
                  <w:divBdr>
                    <w:top w:val="none" w:sz="0" w:space="0" w:color="auto"/>
                    <w:left w:val="none" w:sz="0" w:space="0" w:color="auto"/>
                    <w:bottom w:val="none" w:sz="0" w:space="0" w:color="auto"/>
                    <w:right w:val="none" w:sz="0" w:space="0" w:color="auto"/>
                  </w:divBdr>
                  <w:divsChild>
                    <w:div w:id="13032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51638">
      <w:bodyDiv w:val="1"/>
      <w:marLeft w:val="0"/>
      <w:marRight w:val="0"/>
      <w:marTop w:val="0"/>
      <w:marBottom w:val="0"/>
      <w:divBdr>
        <w:top w:val="none" w:sz="0" w:space="0" w:color="auto"/>
        <w:left w:val="none" w:sz="0" w:space="0" w:color="auto"/>
        <w:bottom w:val="none" w:sz="0" w:space="0" w:color="auto"/>
        <w:right w:val="none" w:sz="0" w:space="0" w:color="auto"/>
      </w:divBdr>
      <w:divsChild>
        <w:div w:id="102724649">
          <w:marLeft w:val="0"/>
          <w:marRight w:val="0"/>
          <w:marTop w:val="0"/>
          <w:marBottom w:val="0"/>
          <w:divBdr>
            <w:top w:val="none" w:sz="0" w:space="0" w:color="auto"/>
            <w:left w:val="none" w:sz="0" w:space="0" w:color="auto"/>
            <w:bottom w:val="none" w:sz="0" w:space="0" w:color="auto"/>
            <w:right w:val="none" w:sz="0" w:space="0" w:color="auto"/>
          </w:divBdr>
          <w:divsChild>
            <w:div w:id="999119612">
              <w:marLeft w:val="0"/>
              <w:marRight w:val="0"/>
              <w:marTop w:val="0"/>
              <w:marBottom w:val="0"/>
              <w:divBdr>
                <w:top w:val="none" w:sz="0" w:space="0" w:color="auto"/>
                <w:left w:val="none" w:sz="0" w:space="0" w:color="auto"/>
                <w:bottom w:val="none" w:sz="0" w:space="0" w:color="auto"/>
                <w:right w:val="none" w:sz="0" w:space="0" w:color="auto"/>
              </w:divBdr>
              <w:divsChild>
                <w:div w:id="452215821">
                  <w:marLeft w:val="0"/>
                  <w:marRight w:val="0"/>
                  <w:marTop w:val="0"/>
                  <w:marBottom w:val="0"/>
                  <w:divBdr>
                    <w:top w:val="none" w:sz="0" w:space="0" w:color="auto"/>
                    <w:left w:val="none" w:sz="0" w:space="0" w:color="auto"/>
                    <w:bottom w:val="none" w:sz="0" w:space="0" w:color="auto"/>
                    <w:right w:val="none" w:sz="0" w:space="0" w:color="auto"/>
                  </w:divBdr>
                  <w:divsChild>
                    <w:div w:id="180789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ondazioneperlosvilupposostenibi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1</Pages>
  <Words>1054</Words>
  <Characters>6013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Francesca Martella</cp:lastModifiedBy>
  <cp:revision>23</cp:revision>
  <cp:lastPrinted>2019-10-09T11:10:00Z</cp:lastPrinted>
  <dcterms:created xsi:type="dcterms:W3CDTF">2019-10-07T07:18:00Z</dcterms:created>
  <dcterms:modified xsi:type="dcterms:W3CDTF">2019-10-11T13:20:00Z</dcterms:modified>
</cp:coreProperties>
</file>